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2B1F3">
      <w:pPr>
        <w:pStyle w:val="3"/>
        <w:bidi w:val="0"/>
        <w:jc w:val="both"/>
        <w:rPr>
          <w:rFonts w:hint="eastAsia" w:ascii="仿宋" w:hAnsi="仿宋" w:eastAsia="仿宋" w:cs="仿宋"/>
          <w:b w:val="0"/>
          <w:bCs w:val="0"/>
          <w:spacing w:val="-2"/>
          <w:sz w:val="24"/>
          <w:szCs w:val="24"/>
        </w:rPr>
      </w:pPr>
      <w:r>
        <w:rPr>
          <w:rFonts w:hint="eastAsia"/>
          <w:lang w:val="en-US" w:eastAsia="zh-CN"/>
        </w:rPr>
        <w:t>附件：</w:t>
      </w:r>
      <w:r>
        <w:rPr>
          <w:rFonts w:hint="eastAsia"/>
        </w:rPr>
        <w:t>（一）服务需求一览表</w:t>
      </w:r>
    </w:p>
    <w:tbl>
      <w:tblPr>
        <w:tblStyle w:val="11"/>
        <w:tblW w:w="8381" w:type="dxa"/>
        <w:tblInd w:w="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3"/>
        <w:gridCol w:w="4654"/>
        <w:gridCol w:w="772"/>
        <w:gridCol w:w="801"/>
        <w:gridCol w:w="1201"/>
      </w:tblGrid>
      <w:tr w14:paraId="1B5C8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953" w:type="dxa"/>
            <w:vAlign w:val="top"/>
          </w:tcPr>
          <w:p w14:paraId="0860B5C0">
            <w:pPr>
              <w:keepNext w:val="0"/>
              <w:keepLines w:val="0"/>
              <w:pageBreakBefore w:val="0"/>
              <w:kinsoku/>
              <w:wordWrap/>
              <w:overflowPunct/>
              <w:topLinePunct w:val="0"/>
              <w:autoSpaceDE/>
              <w:autoSpaceDN/>
              <w:bidi w:val="0"/>
              <w:adjustRightInd/>
              <w:snapToGrid/>
              <w:spacing w:before="178" w:line="360" w:lineRule="auto"/>
              <w:ind w:left="241"/>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序号</w:t>
            </w:r>
          </w:p>
        </w:tc>
        <w:tc>
          <w:tcPr>
            <w:tcW w:w="4654" w:type="dxa"/>
            <w:vAlign w:val="top"/>
          </w:tcPr>
          <w:p w14:paraId="63144CC4">
            <w:pPr>
              <w:keepNext w:val="0"/>
              <w:keepLines w:val="0"/>
              <w:pageBreakBefore w:val="0"/>
              <w:kinsoku/>
              <w:wordWrap/>
              <w:overflowPunct/>
              <w:topLinePunct w:val="0"/>
              <w:autoSpaceDE/>
              <w:autoSpaceDN/>
              <w:bidi w:val="0"/>
              <w:adjustRightInd/>
              <w:snapToGrid/>
              <w:spacing w:before="177" w:line="360" w:lineRule="auto"/>
              <w:ind w:left="1548"/>
              <w:rPr>
                <w:rFonts w:hint="eastAsia" w:ascii="仿宋" w:hAnsi="仿宋" w:eastAsia="仿宋" w:cs="仿宋"/>
                <w:b w:val="0"/>
                <w:bCs w:val="0"/>
                <w:sz w:val="24"/>
                <w:szCs w:val="24"/>
              </w:rPr>
            </w:pPr>
            <w:r>
              <w:rPr>
                <w:rFonts w:hint="eastAsia" w:ascii="仿宋" w:hAnsi="仿宋" w:eastAsia="仿宋" w:cs="仿宋"/>
                <w:b w:val="0"/>
                <w:bCs w:val="0"/>
                <w:sz w:val="24"/>
                <w:szCs w:val="24"/>
              </w:rPr>
              <w:t>货物/服务名称</w:t>
            </w:r>
          </w:p>
        </w:tc>
        <w:tc>
          <w:tcPr>
            <w:tcW w:w="772" w:type="dxa"/>
            <w:vAlign w:val="top"/>
          </w:tcPr>
          <w:p w14:paraId="2DDCB3E1">
            <w:pPr>
              <w:keepNext w:val="0"/>
              <w:keepLines w:val="0"/>
              <w:pageBreakBefore w:val="0"/>
              <w:kinsoku/>
              <w:wordWrap/>
              <w:overflowPunct/>
              <w:topLinePunct w:val="0"/>
              <w:autoSpaceDE/>
              <w:autoSpaceDN/>
              <w:bidi w:val="0"/>
              <w:adjustRightInd/>
              <w:snapToGrid/>
              <w:spacing w:before="177" w:line="360" w:lineRule="auto"/>
              <w:ind w:left="159"/>
              <w:rPr>
                <w:rFonts w:hint="eastAsia" w:ascii="仿宋" w:hAnsi="仿宋" w:eastAsia="仿宋" w:cs="仿宋"/>
                <w:b w:val="0"/>
                <w:bCs w:val="0"/>
                <w:sz w:val="24"/>
                <w:szCs w:val="24"/>
              </w:rPr>
            </w:pPr>
            <w:r>
              <w:rPr>
                <w:rFonts w:hint="eastAsia" w:ascii="仿宋" w:hAnsi="仿宋" w:eastAsia="仿宋" w:cs="仿宋"/>
                <w:b w:val="0"/>
                <w:bCs w:val="0"/>
                <w:spacing w:val="-9"/>
                <w:sz w:val="24"/>
                <w:szCs w:val="24"/>
              </w:rPr>
              <w:t>单位</w:t>
            </w:r>
          </w:p>
        </w:tc>
        <w:tc>
          <w:tcPr>
            <w:tcW w:w="801" w:type="dxa"/>
            <w:vAlign w:val="top"/>
          </w:tcPr>
          <w:p w14:paraId="50B22A71">
            <w:pPr>
              <w:keepNext w:val="0"/>
              <w:keepLines w:val="0"/>
              <w:pageBreakBefore w:val="0"/>
              <w:kinsoku/>
              <w:wordWrap/>
              <w:overflowPunct/>
              <w:topLinePunct w:val="0"/>
              <w:autoSpaceDE/>
              <w:autoSpaceDN/>
              <w:bidi w:val="0"/>
              <w:adjustRightInd/>
              <w:snapToGrid/>
              <w:spacing w:before="177" w:line="360" w:lineRule="auto"/>
              <w:ind w:left="169"/>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数量</w:t>
            </w:r>
          </w:p>
        </w:tc>
        <w:tc>
          <w:tcPr>
            <w:tcW w:w="1201" w:type="dxa"/>
            <w:vAlign w:val="top"/>
          </w:tcPr>
          <w:p w14:paraId="756F5F26">
            <w:pPr>
              <w:keepNext w:val="0"/>
              <w:keepLines w:val="0"/>
              <w:pageBreakBefore w:val="0"/>
              <w:kinsoku/>
              <w:wordWrap/>
              <w:overflowPunct/>
              <w:topLinePunct w:val="0"/>
              <w:autoSpaceDE/>
              <w:autoSpaceDN/>
              <w:bidi w:val="0"/>
              <w:adjustRightInd/>
              <w:snapToGrid/>
              <w:spacing w:before="178" w:line="360" w:lineRule="auto"/>
              <w:ind w:left="371"/>
              <w:rPr>
                <w:rFonts w:hint="eastAsia" w:ascii="仿宋" w:hAnsi="仿宋" w:eastAsia="仿宋" w:cs="仿宋"/>
                <w:b w:val="0"/>
                <w:bCs w:val="0"/>
                <w:sz w:val="24"/>
                <w:szCs w:val="24"/>
              </w:rPr>
            </w:pPr>
            <w:r>
              <w:rPr>
                <w:rFonts w:hint="eastAsia" w:ascii="仿宋" w:hAnsi="仿宋" w:eastAsia="仿宋" w:cs="仿宋"/>
                <w:b w:val="0"/>
                <w:bCs w:val="0"/>
                <w:spacing w:val="-7"/>
                <w:sz w:val="24"/>
                <w:szCs w:val="24"/>
              </w:rPr>
              <w:t>备注</w:t>
            </w:r>
          </w:p>
        </w:tc>
      </w:tr>
      <w:tr w14:paraId="60547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953" w:type="dxa"/>
            <w:vAlign w:val="top"/>
          </w:tcPr>
          <w:p w14:paraId="5A39E972">
            <w:pPr>
              <w:keepNext w:val="0"/>
              <w:keepLines w:val="0"/>
              <w:pageBreakBefore w:val="0"/>
              <w:kinsoku/>
              <w:wordWrap/>
              <w:overflowPunct/>
              <w:topLinePunct w:val="0"/>
              <w:autoSpaceDE/>
              <w:autoSpaceDN/>
              <w:bidi w:val="0"/>
              <w:adjustRightInd/>
              <w:snapToGrid/>
              <w:spacing w:before="141" w:line="360" w:lineRule="auto"/>
              <w:ind w:left="435"/>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4654" w:type="dxa"/>
            <w:vAlign w:val="top"/>
          </w:tcPr>
          <w:p w14:paraId="1A39AAEA">
            <w:pPr>
              <w:keepNext w:val="0"/>
              <w:keepLines w:val="0"/>
              <w:pageBreakBefore w:val="0"/>
              <w:kinsoku/>
              <w:wordWrap/>
              <w:overflowPunct/>
              <w:topLinePunct w:val="0"/>
              <w:autoSpaceDE/>
              <w:autoSpaceDN/>
              <w:bidi w:val="0"/>
              <w:adjustRightInd/>
              <w:snapToGrid/>
              <w:spacing w:before="141" w:line="360" w:lineRule="auto"/>
              <w:ind w:left="11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计算机网络子系统</w:t>
            </w:r>
          </w:p>
        </w:tc>
        <w:tc>
          <w:tcPr>
            <w:tcW w:w="772" w:type="dxa"/>
            <w:vAlign w:val="top"/>
          </w:tcPr>
          <w:p w14:paraId="0460F08D">
            <w:pPr>
              <w:keepNext w:val="0"/>
              <w:keepLines w:val="0"/>
              <w:pageBreakBefore w:val="0"/>
              <w:kinsoku/>
              <w:wordWrap/>
              <w:overflowPunct/>
              <w:topLinePunct w:val="0"/>
              <w:autoSpaceDE/>
              <w:autoSpaceDN/>
              <w:bidi w:val="0"/>
              <w:adjustRightInd/>
              <w:snapToGrid/>
              <w:spacing w:before="141" w:line="360" w:lineRule="auto"/>
              <w:ind w:left="279"/>
              <w:rPr>
                <w:rFonts w:hint="eastAsia" w:ascii="仿宋" w:hAnsi="仿宋" w:eastAsia="仿宋" w:cs="仿宋"/>
                <w:b w:val="0"/>
                <w:bCs w:val="0"/>
                <w:sz w:val="24"/>
                <w:szCs w:val="24"/>
              </w:rPr>
            </w:pPr>
            <w:r>
              <w:rPr>
                <w:rFonts w:hint="eastAsia" w:ascii="仿宋" w:hAnsi="仿宋" w:eastAsia="仿宋" w:cs="仿宋"/>
                <w:b w:val="0"/>
                <w:bCs w:val="0"/>
                <w:sz w:val="24"/>
                <w:szCs w:val="24"/>
              </w:rPr>
              <w:t>项</w:t>
            </w:r>
          </w:p>
        </w:tc>
        <w:tc>
          <w:tcPr>
            <w:tcW w:w="801" w:type="dxa"/>
            <w:vAlign w:val="top"/>
          </w:tcPr>
          <w:p w14:paraId="5E8AD1C3">
            <w:pPr>
              <w:keepNext w:val="0"/>
              <w:keepLines w:val="0"/>
              <w:pageBreakBefore w:val="0"/>
              <w:kinsoku/>
              <w:wordWrap/>
              <w:overflowPunct/>
              <w:topLinePunct w:val="0"/>
              <w:autoSpaceDE/>
              <w:autoSpaceDN/>
              <w:bidi w:val="0"/>
              <w:adjustRightInd/>
              <w:snapToGrid/>
              <w:spacing w:before="141" w:line="360" w:lineRule="auto"/>
              <w:ind w:left="364"/>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1201" w:type="dxa"/>
            <w:vAlign w:val="top"/>
          </w:tcPr>
          <w:p w14:paraId="77B715F1">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val="0"/>
                <w:bCs w:val="0"/>
                <w:sz w:val="24"/>
                <w:szCs w:val="24"/>
              </w:rPr>
            </w:pPr>
          </w:p>
        </w:tc>
      </w:tr>
      <w:tr w14:paraId="50C74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953" w:type="dxa"/>
            <w:vAlign w:val="top"/>
          </w:tcPr>
          <w:p w14:paraId="09847457">
            <w:pPr>
              <w:keepNext w:val="0"/>
              <w:keepLines w:val="0"/>
              <w:pageBreakBefore w:val="0"/>
              <w:kinsoku/>
              <w:wordWrap/>
              <w:overflowPunct/>
              <w:topLinePunct w:val="0"/>
              <w:autoSpaceDE/>
              <w:autoSpaceDN/>
              <w:bidi w:val="0"/>
              <w:adjustRightInd/>
              <w:snapToGrid/>
              <w:spacing w:before="143" w:line="360" w:lineRule="auto"/>
              <w:ind w:left="420"/>
              <w:rPr>
                <w:rFonts w:hint="eastAsia" w:ascii="仿宋" w:hAnsi="仿宋" w:eastAsia="仿宋" w:cs="仿宋"/>
                <w:b w:val="0"/>
                <w:bCs w:val="0"/>
                <w:sz w:val="24"/>
                <w:szCs w:val="24"/>
              </w:rPr>
            </w:pPr>
            <w:r>
              <w:rPr>
                <w:rFonts w:hint="eastAsia" w:ascii="仿宋" w:hAnsi="仿宋" w:eastAsia="仿宋" w:cs="仿宋"/>
                <w:b w:val="0"/>
                <w:bCs w:val="0"/>
                <w:sz w:val="24"/>
                <w:szCs w:val="24"/>
              </w:rPr>
              <w:t>2</w:t>
            </w:r>
          </w:p>
        </w:tc>
        <w:tc>
          <w:tcPr>
            <w:tcW w:w="4654" w:type="dxa"/>
            <w:vAlign w:val="top"/>
          </w:tcPr>
          <w:p w14:paraId="6A350CC5">
            <w:pPr>
              <w:keepNext w:val="0"/>
              <w:keepLines w:val="0"/>
              <w:pageBreakBefore w:val="0"/>
              <w:kinsoku/>
              <w:wordWrap/>
              <w:overflowPunct/>
              <w:topLinePunct w:val="0"/>
              <w:autoSpaceDE/>
              <w:autoSpaceDN/>
              <w:bidi w:val="0"/>
              <w:adjustRightInd/>
              <w:snapToGrid/>
              <w:spacing w:before="143" w:line="360" w:lineRule="auto"/>
              <w:ind w:left="11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语音通信平台系统</w:t>
            </w:r>
          </w:p>
        </w:tc>
        <w:tc>
          <w:tcPr>
            <w:tcW w:w="772" w:type="dxa"/>
            <w:vAlign w:val="top"/>
          </w:tcPr>
          <w:p w14:paraId="363E1E4E">
            <w:pPr>
              <w:keepNext w:val="0"/>
              <w:keepLines w:val="0"/>
              <w:pageBreakBefore w:val="0"/>
              <w:kinsoku/>
              <w:wordWrap/>
              <w:overflowPunct/>
              <w:topLinePunct w:val="0"/>
              <w:autoSpaceDE/>
              <w:autoSpaceDN/>
              <w:bidi w:val="0"/>
              <w:adjustRightInd/>
              <w:snapToGrid/>
              <w:spacing w:before="143" w:line="360" w:lineRule="auto"/>
              <w:ind w:left="279"/>
              <w:rPr>
                <w:rFonts w:hint="eastAsia" w:ascii="仿宋" w:hAnsi="仿宋" w:eastAsia="仿宋" w:cs="仿宋"/>
                <w:b w:val="0"/>
                <w:bCs w:val="0"/>
                <w:sz w:val="24"/>
                <w:szCs w:val="24"/>
              </w:rPr>
            </w:pPr>
            <w:r>
              <w:rPr>
                <w:rFonts w:hint="eastAsia" w:ascii="仿宋" w:hAnsi="仿宋" w:eastAsia="仿宋" w:cs="仿宋"/>
                <w:b w:val="0"/>
                <w:bCs w:val="0"/>
                <w:sz w:val="24"/>
                <w:szCs w:val="24"/>
              </w:rPr>
              <w:t>项</w:t>
            </w:r>
          </w:p>
        </w:tc>
        <w:tc>
          <w:tcPr>
            <w:tcW w:w="801" w:type="dxa"/>
            <w:vAlign w:val="top"/>
          </w:tcPr>
          <w:p w14:paraId="7DF79BA9">
            <w:pPr>
              <w:keepNext w:val="0"/>
              <w:keepLines w:val="0"/>
              <w:pageBreakBefore w:val="0"/>
              <w:kinsoku/>
              <w:wordWrap/>
              <w:overflowPunct/>
              <w:topLinePunct w:val="0"/>
              <w:autoSpaceDE/>
              <w:autoSpaceDN/>
              <w:bidi w:val="0"/>
              <w:adjustRightInd/>
              <w:snapToGrid/>
              <w:spacing w:before="143" w:line="360" w:lineRule="auto"/>
              <w:ind w:left="364"/>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1201" w:type="dxa"/>
            <w:vAlign w:val="top"/>
          </w:tcPr>
          <w:p w14:paraId="2AC3BD63">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val="0"/>
                <w:bCs w:val="0"/>
                <w:sz w:val="24"/>
                <w:szCs w:val="24"/>
              </w:rPr>
            </w:pPr>
          </w:p>
        </w:tc>
      </w:tr>
      <w:tr w14:paraId="149BB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953" w:type="dxa"/>
            <w:vAlign w:val="top"/>
          </w:tcPr>
          <w:p w14:paraId="1837519D">
            <w:pPr>
              <w:keepNext w:val="0"/>
              <w:keepLines w:val="0"/>
              <w:pageBreakBefore w:val="0"/>
              <w:kinsoku/>
              <w:wordWrap/>
              <w:overflowPunct/>
              <w:topLinePunct w:val="0"/>
              <w:autoSpaceDE/>
              <w:autoSpaceDN/>
              <w:bidi w:val="0"/>
              <w:adjustRightInd/>
              <w:snapToGrid/>
              <w:spacing w:before="144" w:line="360" w:lineRule="auto"/>
              <w:ind w:left="422"/>
              <w:rPr>
                <w:rFonts w:hint="eastAsia" w:ascii="仿宋" w:hAnsi="仿宋" w:eastAsia="仿宋" w:cs="仿宋"/>
                <w:b w:val="0"/>
                <w:bCs w:val="0"/>
                <w:sz w:val="24"/>
                <w:szCs w:val="24"/>
              </w:rPr>
            </w:pPr>
            <w:r>
              <w:rPr>
                <w:rFonts w:hint="eastAsia" w:ascii="仿宋" w:hAnsi="仿宋" w:eastAsia="仿宋" w:cs="仿宋"/>
                <w:b w:val="0"/>
                <w:bCs w:val="0"/>
                <w:sz w:val="24"/>
                <w:szCs w:val="24"/>
              </w:rPr>
              <w:t>3</w:t>
            </w:r>
          </w:p>
        </w:tc>
        <w:tc>
          <w:tcPr>
            <w:tcW w:w="4654" w:type="dxa"/>
            <w:vAlign w:val="top"/>
          </w:tcPr>
          <w:p w14:paraId="576B24EB">
            <w:pPr>
              <w:keepNext w:val="0"/>
              <w:keepLines w:val="0"/>
              <w:pageBreakBefore w:val="0"/>
              <w:kinsoku/>
              <w:wordWrap/>
              <w:overflowPunct/>
              <w:topLinePunct w:val="0"/>
              <w:autoSpaceDE/>
              <w:autoSpaceDN/>
              <w:bidi w:val="0"/>
              <w:adjustRightInd/>
              <w:snapToGrid/>
              <w:spacing w:before="144" w:line="360" w:lineRule="auto"/>
              <w:ind w:left="11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数字录音子系统</w:t>
            </w:r>
          </w:p>
        </w:tc>
        <w:tc>
          <w:tcPr>
            <w:tcW w:w="772" w:type="dxa"/>
            <w:vAlign w:val="top"/>
          </w:tcPr>
          <w:p w14:paraId="719C4010">
            <w:pPr>
              <w:keepNext w:val="0"/>
              <w:keepLines w:val="0"/>
              <w:pageBreakBefore w:val="0"/>
              <w:kinsoku/>
              <w:wordWrap/>
              <w:overflowPunct/>
              <w:topLinePunct w:val="0"/>
              <w:autoSpaceDE/>
              <w:autoSpaceDN/>
              <w:bidi w:val="0"/>
              <w:adjustRightInd/>
              <w:snapToGrid/>
              <w:spacing w:before="144" w:line="360" w:lineRule="auto"/>
              <w:ind w:left="279"/>
              <w:rPr>
                <w:rFonts w:hint="eastAsia" w:ascii="仿宋" w:hAnsi="仿宋" w:eastAsia="仿宋" w:cs="仿宋"/>
                <w:b w:val="0"/>
                <w:bCs w:val="0"/>
                <w:sz w:val="24"/>
                <w:szCs w:val="24"/>
              </w:rPr>
            </w:pPr>
            <w:r>
              <w:rPr>
                <w:rFonts w:hint="eastAsia" w:ascii="仿宋" w:hAnsi="仿宋" w:eastAsia="仿宋" w:cs="仿宋"/>
                <w:b w:val="0"/>
                <w:bCs w:val="0"/>
                <w:sz w:val="24"/>
                <w:szCs w:val="24"/>
              </w:rPr>
              <w:t>项</w:t>
            </w:r>
          </w:p>
        </w:tc>
        <w:tc>
          <w:tcPr>
            <w:tcW w:w="801" w:type="dxa"/>
            <w:vAlign w:val="top"/>
          </w:tcPr>
          <w:p w14:paraId="4B3E2395">
            <w:pPr>
              <w:keepNext w:val="0"/>
              <w:keepLines w:val="0"/>
              <w:pageBreakBefore w:val="0"/>
              <w:kinsoku/>
              <w:wordWrap/>
              <w:overflowPunct/>
              <w:topLinePunct w:val="0"/>
              <w:autoSpaceDE/>
              <w:autoSpaceDN/>
              <w:bidi w:val="0"/>
              <w:adjustRightInd/>
              <w:snapToGrid/>
              <w:spacing w:before="144" w:line="360" w:lineRule="auto"/>
              <w:ind w:left="364"/>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1201" w:type="dxa"/>
            <w:vAlign w:val="top"/>
          </w:tcPr>
          <w:p w14:paraId="2B26D0B3">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val="0"/>
                <w:bCs w:val="0"/>
                <w:sz w:val="24"/>
                <w:szCs w:val="24"/>
              </w:rPr>
            </w:pPr>
          </w:p>
        </w:tc>
      </w:tr>
      <w:tr w14:paraId="250BC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953" w:type="dxa"/>
            <w:vAlign w:val="top"/>
          </w:tcPr>
          <w:p w14:paraId="41A4E15F">
            <w:pPr>
              <w:keepNext w:val="0"/>
              <w:keepLines w:val="0"/>
              <w:pageBreakBefore w:val="0"/>
              <w:kinsoku/>
              <w:wordWrap/>
              <w:overflowPunct/>
              <w:topLinePunct w:val="0"/>
              <w:autoSpaceDE/>
              <w:autoSpaceDN/>
              <w:bidi w:val="0"/>
              <w:adjustRightInd/>
              <w:snapToGrid/>
              <w:spacing w:before="144" w:line="360" w:lineRule="auto"/>
              <w:ind w:left="416"/>
              <w:rPr>
                <w:rFonts w:hint="eastAsia" w:ascii="仿宋" w:hAnsi="仿宋" w:eastAsia="仿宋" w:cs="仿宋"/>
                <w:b w:val="0"/>
                <w:bCs w:val="0"/>
                <w:sz w:val="24"/>
                <w:szCs w:val="24"/>
              </w:rPr>
            </w:pPr>
            <w:r>
              <w:rPr>
                <w:rFonts w:hint="eastAsia" w:ascii="仿宋" w:hAnsi="仿宋" w:eastAsia="仿宋" w:cs="仿宋"/>
                <w:b w:val="0"/>
                <w:bCs w:val="0"/>
                <w:sz w:val="24"/>
                <w:szCs w:val="24"/>
              </w:rPr>
              <w:t>4</w:t>
            </w:r>
          </w:p>
        </w:tc>
        <w:tc>
          <w:tcPr>
            <w:tcW w:w="4654" w:type="dxa"/>
            <w:vAlign w:val="top"/>
          </w:tcPr>
          <w:p w14:paraId="02080BE2">
            <w:pPr>
              <w:keepNext w:val="0"/>
              <w:keepLines w:val="0"/>
              <w:pageBreakBefore w:val="0"/>
              <w:kinsoku/>
              <w:wordWrap/>
              <w:overflowPunct/>
              <w:topLinePunct w:val="0"/>
              <w:autoSpaceDE/>
              <w:autoSpaceDN/>
              <w:bidi w:val="0"/>
              <w:adjustRightInd/>
              <w:snapToGrid/>
              <w:spacing w:before="144" w:line="360" w:lineRule="auto"/>
              <w:ind w:left="128"/>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崇阳县域急救分站受理调度子系统</w:t>
            </w:r>
          </w:p>
        </w:tc>
        <w:tc>
          <w:tcPr>
            <w:tcW w:w="772" w:type="dxa"/>
            <w:vAlign w:val="top"/>
          </w:tcPr>
          <w:p w14:paraId="3CCDC635">
            <w:pPr>
              <w:keepNext w:val="0"/>
              <w:keepLines w:val="0"/>
              <w:pageBreakBefore w:val="0"/>
              <w:kinsoku/>
              <w:wordWrap/>
              <w:overflowPunct/>
              <w:topLinePunct w:val="0"/>
              <w:autoSpaceDE/>
              <w:autoSpaceDN/>
              <w:bidi w:val="0"/>
              <w:adjustRightInd/>
              <w:snapToGrid/>
              <w:spacing w:before="144" w:line="360" w:lineRule="auto"/>
              <w:ind w:left="279"/>
              <w:rPr>
                <w:rFonts w:hint="eastAsia" w:ascii="仿宋" w:hAnsi="仿宋" w:eastAsia="仿宋" w:cs="仿宋"/>
                <w:b w:val="0"/>
                <w:bCs w:val="0"/>
                <w:sz w:val="24"/>
                <w:szCs w:val="24"/>
              </w:rPr>
            </w:pPr>
            <w:r>
              <w:rPr>
                <w:rFonts w:hint="eastAsia" w:ascii="仿宋" w:hAnsi="仿宋" w:eastAsia="仿宋" w:cs="仿宋"/>
                <w:b w:val="0"/>
                <w:bCs w:val="0"/>
                <w:sz w:val="24"/>
                <w:szCs w:val="24"/>
              </w:rPr>
              <w:t>项</w:t>
            </w:r>
          </w:p>
        </w:tc>
        <w:tc>
          <w:tcPr>
            <w:tcW w:w="801" w:type="dxa"/>
            <w:vAlign w:val="top"/>
          </w:tcPr>
          <w:p w14:paraId="54FEEAC3">
            <w:pPr>
              <w:keepNext w:val="0"/>
              <w:keepLines w:val="0"/>
              <w:pageBreakBefore w:val="0"/>
              <w:kinsoku/>
              <w:wordWrap/>
              <w:overflowPunct/>
              <w:topLinePunct w:val="0"/>
              <w:autoSpaceDE/>
              <w:autoSpaceDN/>
              <w:bidi w:val="0"/>
              <w:adjustRightInd/>
              <w:snapToGrid/>
              <w:spacing w:before="144" w:line="360" w:lineRule="auto"/>
              <w:ind w:left="364"/>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1201" w:type="dxa"/>
            <w:vAlign w:val="top"/>
          </w:tcPr>
          <w:p w14:paraId="7D5D2F2D">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val="0"/>
                <w:bCs w:val="0"/>
                <w:sz w:val="24"/>
                <w:szCs w:val="24"/>
              </w:rPr>
            </w:pPr>
          </w:p>
        </w:tc>
      </w:tr>
      <w:tr w14:paraId="0C4F8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953" w:type="dxa"/>
            <w:vAlign w:val="top"/>
          </w:tcPr>
          <w:p w14:paraId="3977044E">
            <w:pPr>
              <w:keepNext w:val="0"/>
              <w:keepLines w:val="0"/>
              <w:pageBreakBefore w:val="0"/>
              <w:kinsoku/>
              <w:wordWrap/>
              <w:overflowPunct/>
              <w:topLinePunct w:val="0"/>
              <w:autoSpaceDE/>
              <w:autoSpaceDN/>
              <w:bidi w:val="0"/>
              <w:adjustRightInd/>
              <w:snapToGrid/>
              <w:spacing w:before="146" w:line="360" w:lineRule="auto"/>
              <w:ind w:left="422"/>
              <w:rPr>
                <w:rFonts w:hint="eastAsia" w:ascii="仿宋" w:hAnsi="仿宋" w:eastAsia="仿宋" w:cs="仿宋"/>
                <w:b w:val="0"/>
                <w:bCs w:val="0"/>
                <w:sz w:val="24"/>
                <w:szCs w:val="24"/>
              </w:rPr>
            </w:pPr>
            <w:r>
              <w:rPr>
                <w:rFonts w:hint="eastAsia" w:ascii="仿宋" w:hAnsi="仿宋" w:eastAsia="仿宋" w:cs="仿宋"/>
                <w:b w:val="0"/>
                <w:bCs w:val="0"/>
                <w:sz w:val="24"/>
                <w:szCs w:val="24"/>
              </w:rPr>
              <w:t>5</w:t>
            </w:r>
          </w:p>
        </w:tc>
        <w:tc>
          <w:tcPr>
            <w:tcW w:w="4654" w:type="dxa"/>
            <w:vAlign w:val="top"/>
          </w:tcPr>
          <w:p w14:paraId="30764A43">
            <w:pPr>
              <w:keepNext w:val="0"/>
              <w:keepLines w:val="0"/>
              <w:pageBreakBefore w:val="0"/>
              <w:kinsoku/>
              <w:wordWrap/>
              <w:overflowPunct/>
              <w:topLinePunct w:val="0"/>
              <w:autoSpaceDE/>
              <w:autoSpaceDN/>
              <w:bidi w:val="0"/>
              <w:adjustRightInd/>
              <w:snapToGrid/>
              <w:spacing w:before="146" w:line="360" w:lineRule="auto"/>
              <w:ind w:left="118"/>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可视化智慧急救车载信息子系统</w:t>
            </w:r>
          </w:p>
        </w:tc>
        <w:tc>
          <w:tcPr>
            <w:tcW w:w="772" w:type="dxa"/>
            <w:vAlign w:val="top"/>
          </w:tcPr>
          <w:p w14:paraId="1FA741B0">
            <w:pPr>
              <w:keepNext w:val="0"/>
              <w:keepLines w:val="0"/>
              <w:pageBreakBefore w:val="0"/>
              <w:kinsoku/>
              <w:wordWrap/>
              <w:overflowPunct/>
              <w:topLinePunct w:val="0"/>
              <w:autoSpaceDE/>
              <w:autoSpaceDN/>
              <w:bidi w:val="0"/>
              <w:adjustRightInd/>
              <w:snapToGrid/>
              <w:spacing w:before="146" w:line="360" w:lineRule="auto"/>
              <w:ind w:left="279"/>
              <w:rPr>
                <w:rFonts w:hint="eastAsia" w:ascii="仿宋" w:hAnsi="仿宋" w:eastAsia="仿宋" w:cs="仿宋"/>
                <w:b w:val="0"/>
                <w:bCs w:val="0"/>
                <w:sz w:val="24"/>
                <w:szCs w:val="24"/>
              </w:rPr>
            </w:pPr>
            <w:r>
              <w:rPr>
                <w:rFonts w:hint="eastAsia" w:ascii="仿宋" w:hAnsi="仿宋" w:eastAsia="仿宋" w:cs="仿宋"/>
                <w:b w:val="0"/>
                <w:bCs w:val="0"/>
                <w:sz w:val="24"/>
                <w:szCs w:val="24"/>
              </w:rPr>
              <w:t>项</w:t>
            </w:r>
          </w:p>
        </w:tc>
        <w:tc>
          <w:tcPr>
            <w:tcW w:w="801" w:type="dxa"/>
            <w:vAlign w:val="top"/>
          </w:tcPr>
          <w:p w14:paraId="51ED04C7">
            <w:pPr>
              <w:keepNext w:val="0"/>
              <w:keepLines w:val="0"/>
              <w:pageBreakBefore w:val="0"/>
              <w:kinsoku/>
              <w:wordWrap/>
              <w:overflowPunct/>
              <w:topLinePunct w:val="0"/>
              <w:autoSpaceDE/>
              <w:autoSpaceDN/>
              <w:bidi w:val="0"/>
              <w:adjustRightInd/>
              <w:snapToGrid/>
              <w:spacing w:before="146" w:line="360" w:lineRule="auto"/>
              <w:ind w:left="364"/>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1201" w:type="dxa"/>
            <w:vAlign w:val="top"/>
          </w:tcPr>
          <w:p w14:paraId="389F76CC">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val="0"/>
                <w:bCs w:val="0"/>
                <w:sz w:val="24"/>
                <w:szCs w:val="24"/>
              </w:rPr>
            </w:pPr>
          </w:p>
        </w:tc>
      </w:tr>
      <w:tr w14:paraId="49596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953" w:type="dxa"/>
            <w:vAlign w:val="top"/>
          </w:tcPr>
          <w:p w14:paraId="33FD47B5">
            <w:pPr>
              <w:keepNext w:val="0"/>
              <w:keepLines w:val="0"/>
              <w:pageBreakBefore w:val="0"/>
              <w:kinsoku/>
              <w:wordWrap/>
              <w:overflowPunct/>
              <w:topLinePunct w:val="0"/>
              <w:autoSpaceDE/>
              <w:autoSpaceDN/>
              <w:bidi w:val="0"/>
              <w:adjustRightInd/>
              <w:snapToGrid/>
              <w:spacing w:before="145" w:line="360" w:lineRule="auto"/>
              <w:ind w:left="419"/>
              <w:rPr>
                <w:rFonts w:hint="eastAsia" w:ascii="仿宋" w:hAnsi="仿宋" w:eastAsia="仿宋" w:cs="仿宋"/>
                <w:b w:val="0"/>
                <w:bCs w:val="0"/>
                <w:sz w:val="24"/>
                <w:szCs w:val="24"/>
              </w:rPr>
            </w:pPr>
            <w:r>
              <w:rPr>
                <w:rFonts w:hint="eastAsia" w:ascii="仿宋" w:hAnsi="仿宋" w:eastAsia="仿宋" w:cs="仿宋"/>
                <w:b w:val="0"/>
                <w:bCs w:val="0"/>
                <w:sz w:val="24"/>
                <w:szCs w:val="24"/>
              </w:rPr>
              <w:t>6</w:t>
            </w:r>
          </w:p>
        </w:tc>
        <w:tc>
          <w:tcPr>
            <w:tcW w:w="4654" w:type="dxa"/>
            <w:vAlign w:val="top"/>
          </w:tcPr>
          <w:p w14:paraId="683AB7DB">
            <w:pPr>
              <w:keepNext w:val="0"/>
              <w:keepLines w:val="0"/>
              <w:pageBreakBefore w:val="0"/>
              <w:kinsoku/>
              <w:wordWrap/>
              <w:overflowPunct/>
              <w:topLinePunct w:val="0"/>
              <w:autoSpaceDE/>
              <w:autoSpaceDN/>
              <w:bidi w:val="0"/>
              <w:adjustRightInd/>
              <w:snapToGrid/>
              <w:spacing w:before="145" w:line="360" w:lineRule="auto"/>
              <w:ind w:left="12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车载视频监控及传输子系统</w:t>
            </w:r>
          </w:p>
        </w:tc>
        <w:tc>
          <w:tcPr>
            <w:tcW w:w="772" w:type="dxa"/>
            <w:vAlign w:val="top"/>
          </w:tcPr>
          <w:p w14:paraId="620EE18F">
            <w:pPr>
              <w:keepNext w:val="0"/>
              <w:keepLines w:val="0"/>
              <w:pageBreakBefore w:val="0"/>
              <w:kinsoku/>
              <w:wordWrap/>
              <w:overflowPunct/>
              <w:topLinePunct w:val="0"/>
              <w:autoSpaceDE/>
              <w:autoSpaceDN/>
              <w:bidi w:val="0"/>
              <w:adjustRightInd/>
              <w:snapToGrid/>
              <w:spacing w:before="145" w:line="360" w:lineRule="auto"/>
              <w:ind w:left="279"/>
              <w:rPr>
                <w:rFonts w:hint="eastAsia" w:ascii="仿宋" w:hAnsi="仿宋" w:eastAsia="仿宋" w:cs="仿宋"/>
                <w:b w:val="0"/>
                <w:bCs w:val="0"/>
                <w:sz w:val="24"/>
                <w:szCs w:val="24"/>
              </w:rPr>
            </w:pPr>
            <w:r>
              <w:rPr>
                <w:rFonts w:hint="eastAsia" w:ascii="仿宋" w:hAnsi="仿宋" w:eastAsia="仿宋" w:cs="仿宋"/>
                <w:b w:val="0"/>
                <w:bCs w:val="0"/>
                <w:sz w:val="24"/>
                <w:szCs w:val="24"/>
              </w:rPr>
              <w:t>项</w:t>
            </w:r>
          </w:p>
        </w:tc>
        <w:tc>
          <w:tcPr>
            <w:tcW w:w="801" w:type="dxa"/>
            <w:vAlign w:val="top"/>
          </w:tcPr>
          <w:p w14:paraId="1DCFAACB">
            <w:pPr>
              <w:keepNext w:val="0"/>
              <w:keepLines w:val="0"/>
              <w:pageBreakBefore w:val="0"/>
              <w:kinsoku/>
              <w:wordWrap/>
              <w:overflowPunct/>
              <w:topLinePunct w:val="0"/>
              <w:autoSpaceDE/>
              <w:autoSpaceDN/>
              <w:bidi w:val="0"/>
              <w:adjustRightInd/>
              <w:snapToGrid/>
              <w:spacing w:before="145" w:line="360" w:lineRule="auto"/>
              <w:ind w:left="364"/>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1201" w:type="dxa"/>
            <w:vAlign w:val="top"/>
          </w:tcPr>
          <w:p w14:paraId="2B668EBC">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val="0"/>
                <w:bCs w:val="0"/>
                <w:sz w:val="24"/>
                <w:szCs w:val="24"/>
              </w:rPr>
            </w:pPr>
          </w:p>
        </w:tc>
      </w:tr>
      <w:tr w14:paraId="3EF63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953" w:type="dxa"/>
            <w:vAlign w:val="top"/>
          </w:tcPr>
          <w:p w14:paraId="6AF29A6C">
            <w:pPr>
              <w:keepNext w:val="0"/>
              <w:keepLines w:val="0"/>
              <w:pageBreakBefore w:val="0"/>
              <w:kinsoku/>
              <w:wordWrap/>
              <w:overflowPunct/>
              <w:topLinePunct w:val="0"/>
              <w:autoSpaceDE/>
              <w:autoSpaceDN/>
              <w:bidi w:val="0"/>
              <w:adjustRightInd/>
              <w:snapToGrid/>
              <w:spacing w:before="146" w:line="360" w:lineRule="auto"/>
              <w:ind w:left="423"/>
              <w:rPr>
                <w:rFonts w:hint="eastAsia" w:ascii="仿宋" w:hAnsi="仿宋" w:eastAsia="仿宋" w:cs="仿宋"/>
                <w:b w:val="0"/>
                <w:bCs w:val="0"/>
                <w:sz w:val="24"/>
                <w:szCs w:val="24"/>
              </w:rPr>
            </w:pPr>
            <w:r>
              <w:rPr>
                <w:rFonts w:hint="eastAsia" w:ascii="仿宋" w:hAnsi="仿宋" w:eastAsia="仿宋" w:cs="仿宋"/>
                <w:b w:val="0"/>
                <w:bCs w:val="0"/>
                <w:sz w:val="24"/>
                <w:szCs w:val="24"/>
              </w:rPr>
              <w:t>7</w:t>
            </w:r>
          </w:p>
        </w:tc>
        <w:tc>
          <w:tcPr>
            <w:tcW w:w="4654" w:type="dxa"/>
            <w:vAlign w:val="top"/>
          </w:tcPr>
          <w:p w14:paraId="296857F4">
            <w:pPr>
              <w:keepNext w:val="0"/>
              <w:keepLines w:val="0"/>
              <w:pageBreakBefore w:val="0"/>
              <w:kinsoku/>
              <w:wordWrap/>
              <w:overflowPunct/>
              <w:topLinePunct w:val="0"/>
              <w:autoSpaceDE/>
              <w:autoSpaceDN/>
              <w:bidi w:val="0"/>
              <w:adjustRightInd/>
              <w:snapToGrid/>
              <w:spacing w:before="146" w:line="360" w:lineRule="auto"/>
              <w:ind w:left="129"/>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急救大数据可视化展示系统</w:t>
            </w:r>
          </w:p>
        </w:tc>
        <w:tc>
          <w:tcPr>
            <w:tcW w:w="772" w:type="dxa"/>
            <w:vAlign w:val="top"/>
          </w:tcPr>
          <w:p w14:paraId="61C7D66F">
            <w:pPr>
              <w:keepNext w:val="0"/>
              <w:keepLines w:val="0"/>
              <w:pageBreakBefore w:val="0"/>
              <w:kinsoku/>
              <w:wordWrap/>
              <w:overflowPunct/>
              <w:topLinePunct w:val="0"/>
              <w:autoSpaceDE/>
              <w:autoSpaceDN/>
              <w:bidi w:val="0"/>
              <w:adjustRightInd/>
              <w:snapToGrid/>
              <w:spacing w:before="146" w:line="360" w:lineRule="auto"/>
              <w:ind w:left="279"/>
              <w:rPr>
                <w:rFonts w:hint="eastAsia" w:ascii="仿宋" w:hAnsi="仿宋" w:eastAsia="仿宋" w:cs="仿宋"/>
                <w:b w:val="0"/>
                <w:bCs w:val="0"/>
                <w:sz w:val="24"/>
                <w:szCs w:val="24"/>
              </w:rPr>
            </w:pPr>
            <w:r>
              <w:rPr>
                <w:rFonts w:hint="eastAsia" w:ascii="仿宋" w:hAnsi="仿宋" w:eastAsia="仿宋" w:cs="仿宋"/>
                <w:b w:val="0"/>
                <w:bCs w:val="0"/>
                <w:sz w:val="24"/>
                <w:szCs w:val="24"/>
              </w:rPr>
              <w:t>项</w:t>
            </w:r>
          </w:p>
        </w:tc>
        <w:tc>
          <w:tcPr>
            <w:tcW w:w="801" w:type="dxa"/>
            <w:vAlign w:val="top"/>
          </w:tcPr>
          <w:p w14:paraId="2FF426D5">
            <w:pPr>
              <w:keepNext w:val="0"/>
              <w:keepLines w:val="0"/>
              <w:pageBreakBefore w:val="0"/>
              <w:kinsoku/>
              <w:wordWrap/>
              <w:overflowPunct/>
              <w:topLinePunct w:val="0"/>
              <w:autoSpaceDE/>
              <w:autoSpaceDN/>
              <w:bidi w:val="0"/>
              <w:adjustRightInd/>
              <w:snapToGrid/>
              <w:spacing w:before="146" w:line="360" w:lineRule="auto"/>
              <w:ind w:left="364"/>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1201" w:type="dxa"/>
            <w:vAlign w:val="top"/>
          </w:tcPr>
          <w:p w14:paraId="377683E9">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val="0"/>
                <w:bCs w:val="0"/>
                <w:sz w:val="24"/>
                <w:szCs w:val="24"/>
              </w:rPr>
            </w:pPr>
          </w:p>
        </w:tc>
      </w:tr>
      <w:tr w14:paraId="5C164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953" w:type="dxa"/>
            <w:vAlign w:val="top"/>
          </w:tcPr>
          <w:p w14:paraId="09D8E80E">
            <w:pPr>
              <w:keepNext w:val="0"/>
              <w:keepLines w:val="0"/>
              <w:pageBreakBefore w:val="0"/>
              <w:kinsoku/>
              <w:wordWrap/>
              <w:overflowPunct/>
              <w:topLinePunct w:val="0"/>
              <w:autoSpaceDE/>
              <w:autoSpaceDN/>
              <w:bidi w:val="0"/>
              <w:adjustRightInd/>
              <w:snapToGrid/>
              <w:spacing w:before="149" w:line="360" w:lineRule="auto"/>
              <w:ind w:left="375"/>
              <w:rPr>
                <w:rFonts w:hint="eastAsia" w:ascii="仿宋" w:hAnsi="仿宋" w:eastAsia="仿宋" w:cs="仿宋"/>
                <w:b w:val="0"/>
                <w:bCs w:val="0"/>
                <w:sz w:val="24"/>
                <w:szCs w:val="24"/>
                <w:lang w:eastAsia="zh-CN"/>
              </w:rPr>
            </w:pPr>
            <w:r>
              <w:rPr>
                <w:rFonts w:hint="eastAsia" w:ascii="仿宋" w:hAnsi="仿宋" w:eastAsia="仿宋" w:cs="仿宋"/>
                <w:b w:val="0"/>
                <w:bCs w:val="0"/>
                <w:spacing w:val="-7"/>
                <w:sz w:val="24"/>
                <w:szCs w:val="24"/>
                <w:lang w:val="en-US" w:eastAsia="zh-CN"/>
              </w:rPr>
              <w:t>8</w:t>
            </w:r>
          </w:p>
        </w:tc>
        <w:tc>
          <w:tcPr>
            <w:tcW w:w="4654" w:type="dxa"/>
            <w:vAlign w:val="top"/>
          </w:tcPr>
          <w:p w14:paraId="0731D3BD">
            <w:pPr>
              <w:keepNext w:val="0"/>
              <w:keepLines w:val="0"/>
              <w:pageBreakBefore w:val="0"/>
              <w:kinsoku/>
              <w:wordWrap/>
              <w:overflowPunct/>
              <w:topLinePunct w:val="0"/>
              <w:autoSpaceDE/>
              <w:autoSpaceDN/>
              <w:bidi w:val="0"/>
              <w:adjustRightInd/>
              <w:snapToGrid/>
              <w:spacing w:before="149" w:line="360" w:lineRule="auto"/>
              <w:ind w:left="117"/>
              <w:rPr>
                <w:rFonts w:hint="eastAsia" w:ascii="仿宋" w:hAnsi="仿宋" w:eastAsia="仿宋" w:cs="仿宋"/>
                <w:b w:val="0"/>
                <w:bCs w:val="0"/>
                <w:sz w:val="24"/>
                <w:szCs w:val="24"/>
              </w:rPr>
            </w:pPr>
            <w:r>
              <w:rPr>
                <w:rFonts w:hint="eastAsia" w:ascii="仿宋" w:hAnsi="仿宋" w:eastAsia="仿宋" w:cs="仿宋"/>
                <w:b w:val="0"/>
                <w:bCs w:val="0"/>
                <w:i w:val="0"/>
                <w:iCs w:val="0"/>
                <w:color w:val="000000"/>
                <w:kern w:val="0"/>
                <w:sz w:val="24"/>
                <w:szCs w:val="24"/>
                <w:u w:val="none"/>
                <w:lang w:val="en-US" w:eastAsia="zh-CN" w:bidi="ar"/>
              </w:rPr>
              <w:t>安装调试及系统集成服务</w:t>
            </w:r>
          </w:p>
        </w:tc>
        <w:tc>
          <w:tcPr>
            <w:tcW w:w="772" w:type="dxa"/>
            <w:vAlign w:val="top"/>
          </w:tcPr>
          <w:p w14:paraId="4D514E23">
            <w:pPr>
              <w:keepNext w:val="0"/>
              <w:keepLines w:val="0"/>
              <w:pageBreakBefore w:val="0"/>
              <w:kinsoku/>
              <w:wordWrap/>
              <w:overflowPunct/>
              <w:topLinePunct w:val="0"/>
              <w:autoSpaceDE/>
              <w:autoSpaceDN/>
              <w:bidi w:val="0"/>
              <w:adjustRightInd/>
              <w:snapToGrid/>
              <w:spacing w:before="149" w:line="360" w:lineRule="auto"/>
              <w:ind w:left="279"/>
              <w:rPr>
                <w:rFonts w:hint="eastAsia" w:ascii="仿宋" w:hAnsi="仿宋" w:eastAsia="仿宋" w:cs="仿宋"/>
                <w:b w:val="0"/>
                <w:bCs w:val="0"/>
                <w:sz w:val="24"/>
                <w:szCs w:val="24"/>
              </w:rPr>
            </w:pPr>
            <w:r>
              <w:rPr>
                <w:rFonts w:hint="eastAsia" w:ascii="仿宋" w:hAnsi="仿宋" w:eastAsia="仿宋" w:cs="仿宋"/>
                <w:b w:val="0"/>
                <w:bCs w:val="0"/>
                <w:sz w:val="24"/>
                <w:szCs w:val="24"/>
              </w:rPr>
              <w:t>项</w:t>
            </w:r>
          </w:p>
        </w:tc>
        <w:tc>
          <w:tcPr>
            <w:tcW w:w="801" w:type="dxa"/>
            <w:vAlign w:val="top"/>
          </w:tcPr>
          <w:p w14:paraId="506F8566">
            <w:pPr>
              <w:keepNext w:val="0"/>
              <w:keepLines w:val="0"/>
              <w:pageBreakBefore w:val="0"/>
              <w:kinsoku/>
              <w:wordWrap/>
              <w:overflowPunct/>
              <w:topLinePunct w:val="0"/>
              <w:autoSpaceDE/>
              <w:autoSpaceDN/>
              <w:bidi w:val="0"/>
              <w:adjustRightInd/>
              <w:snapToGrid/>
              <w:spacing w:before="149" w:line="360" w:lineRule="auto"/>
              <w:ind w:left="364"/>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1201" w:type="dxa"/>
            <w:vAlign w:val="top"/>
          </w:tcPr>
          <w:p w14:paraId="1873B10F">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val="0"/>
                <w:bCs w:val="0"/>
                <w:sz w:val="24"/>
                <w:szCs w:val="24"/>
              </w:rPr>
            </w:pPr>
          </w:p>
        </w:tc>
      </w:tr>
    </w:tbl>
    <w:p w14:paraId="5357806C">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val="0"/>
          <w:bCs w:val="0"/>
          <w:sz w:val="24"/>
          <w:szCs w:val="24"/>
        </w:rPr>
        <w:sectPr>
          <w:footerReference r:id="rId3" w:type="default"/>
          <w:pgSz w:w="11907" w:h="16840"/>
          <w:pgMar w:top="1262" w:right="1771" w:bottom="1464" w:left="1771" w:header="824" w:footer="1195" w:gutter="0"/>
          <w:cols w:space="720" w:num="1"/>
        </w:sectPr>
      </w:pPr>
    </w:p>
    <w:p w14:paraId="3082F2DC">
      <w:pPr>
        <w:pStyle w:val="4"/>
        <w:numPr>
          <w:ilvl w:val="0"/>
          <w:numId w:val="1"/>
        </w:numPr>
        <w:bidi w:val="0"/>
        <w:rPr>
          <w:rFonts w:hint="eastAsia"/>
        </w:rPr>
      </w:pPr>
      <w:r>
        <w:rPr>
          <w:rFonts w:hint="eastAsia"/>
        </w:rPr>
        <w:t>详细技术/服务要求</w:t>
      </w:r>
    </w:p>
    <w:p w14:paraId="731F2431">
      <w:pPr>
        <w:bidi w:val="0"/>
        <w:rPr>
          <w:rFonts w:hint="eastAsia"/>
        </w:rPr>
      </w:pPr>
    </w:p>
    <w:tbl>
      <w:tblPr>
        <w:tblStyle w:val="8"/>
        <w:tblW w:w="8983" w:type="dxa"/>
        <w:tblInd w:w="-23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9"/>
        <w:gridCol w:w="1014"/>
        <w:gridCol w:w="4900"/>
        <w:gridCol w:w="750"/>
        <w:gridCol w:w="750"/>
        <w:gridCol w:w="800"/>
      </w:tblGrid>
      <w:tr w14:paraId="72E0D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898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866B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一、计算机网络子系统</w:t>
            </w:r>
          </w:p>
        </w:tc>
      </w:tr>
      <w:tr w14:paraId="2460C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76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1F109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D9D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 xml:space="preserve">名称        </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CB1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型号/规格</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AC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74C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单位</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2E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备注</w:t>
            </w:r>
          </w:p>
        </w:tc>
      </w:tr>
      <w:tr w14:paraId="691D0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7" w:hRule="atLeast"/>
        </w:trPr>
        <w:tc>
          <w:tcPr>
            <w:tcW w:w="76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1CF1B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184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中心坐席受理话机</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135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参数不低于：</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1、屏幕≥480x272像素LCD彩色背光屏（≥4.3英寸彩屏）；</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2、支持6条SIP线路；</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3、不少于2个千兆网口；</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4、支持本地网络抓包，或将数据镜像发送到PC上；</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5、支持IP直拨；</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6、支持随机端口注册；</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7、本地电话簿与远程电话簿文件格式一样，可以共用；</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8、耳机接口：RJ9接口，标准耳机线序；</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9、支持POE供电；</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10、支持挂墙安装；</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11、支持标准SIP协议V1（RFC2543）；</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12、支持标准SIP协议V2（RFC3261）；</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13、支持SIP TLS，SRTP加密；</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14、支持HD高清语音；</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15、支持宽带语音编码: G.722、OPUS、OPUS_WB、AMR；</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16、支持窄带语音编码: PCMA, PCMU, G.729, G.723_53, G.723_63, G.726_24、G.726_32、G.726_40、iLBC_13_3、iLBC_15_2；</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17、支持短信息；</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18、支持SNMP管理；</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19、支持网管平台管理；</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20、支持远程访问安全控制；</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21、支持移动办公；</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22、支持功能键、软按键功能自定义；</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23、支持自定义铃声；</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24、支持ACD功能；</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25、支持屏幕截图；</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26、IP话机支持通过所在座席的指挥调度软件实现来电的应答和挂机，无需手工操作话机按键或手柄。</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27、▲为保障产品售后服务质量，制造商需提供针对本项目的售后服务承诺书。</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EDE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4B9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BE9D">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6A101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8" w:hRule="atLeast"/>
        </w:trPr>
        <w:tc>
          <w:tcPr>
            <w:tcW w:w="76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C9F97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B398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崇阳县域急救视频监控数字硬盘录像机</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B7FA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参数不低于：</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1、支持64路高清视频接入NVR硬盘录像机，</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2、硬盘盘位：≥2盘位；</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3、硬盘容量：≥8TB 3.5寸安防专用硬盘；</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4、支持远程查看查阅功能。</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82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271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599C">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7A8EB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6" w:hRule="atLeast"/>
        </w:trPr>
        <w:tc>
          <w:tcPr>
            <w:tcW w:w="76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EA62F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4370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崇阳县域急救视频监控摄像机</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686F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参数不低于：</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1、400万星光级网络设备摄像头 4MM监控枪机摄像头；</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2、采用全彩级高灵敏度传感器，F1.0超大光圈镜头，最高分辨率可达400万像素，并在此分辨率下可输出25 fps实时图像；</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3、提供更清晰与流畅的视频流输入；</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4、支持区域入侵侦测，越界侦测，进入区域侦测，离开区域侦测；</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5、支持背光补偿，强光抑制，3D数字降噪，120 dB宽动态，适应不同环境；支持柔光灯补光，照射距离最远可达30m；</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6、支持1个RJ45 10 M/100 M自适应以太网口，1个内置麦克风；</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7、符合IP67防尘防水设计，可靠性高含网线、支架。</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8、安装位置为指挥值班室，急救车下车位、急救车停车位。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D4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E55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34676">
            <w:pPr>
              <w:keepNext w:val="0"/>
              <w:keepLines w:val="0"/>
              <w:pageBreakBefore w:val="0"/>
              <w:kinsoku/>
              <w:wordWrap/>
              <w:overflowPunct/>
              <w:topLinePunct w:val="0"/>
              <w:autoSpaceDE/>
              <w:autoSpaceDN/>
              <w:bidi w:val="0"/>
              <w:adjustRightInd/>
              <w:snapToGrid/>
              <w:spacing w:line="360" w:lineRule="auto"/>
              <w:jc w:val="center"/>
              <w:rPr>
                <w:rFonts w:hint="eastAsia" w:ascii="仿宋" w:hAnsi="仿宋" w:eastAsia="仿宋" w:cs="仿宋"/>
                <w:b w:val="0"/>
                <w:bCs w:val="0"/>
                <w:i w:val="0"/>
                <w:iCs w:val="0"/>
                <w:color w:val="000000"/>
                <w:sz w:val="24"/>
                <w:szCs w:val="24"/>
                <w:u w:val="none"/>
              </w:rPr>
            </w:pPr>
          </w:p>
        </w:tc>
      </w:tr>
      <w:tr w14:paraId="7DD81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5" w:hRule="atLeast"/>
        </w:trPr>
        <w:tc>
          <w:tcPr>
            <w:tcW w:w="76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42EE9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4</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A3B5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崇阳县域急救视频系统安装配件</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4C9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崇阳县域急救视频系统安装五类网线、水晶头、PVC辅料等配件耗材。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A91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789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2D929">
            <w:pPr>
              <w:keepNext w:val="0"/>
              <w:keepLines w:val="0"/>
              <w:pageBreakBefore w:val="0"/>
              <w:kinsoku/>
              <w:wordWrap/>
              <w:overflowPunct/>
              <w:topLinePunct w:val="0"/>
              <w:autoSpaceDE/>
              <w:autoSpaceDN/>
              <w:bidi w:val="0"/>
              <w:adjustRightInd/>
              <w:snapToGrid/>
              <w:spacing w:line="360" w:lineRule="auto"/>
              <w:jc w:val="center"/>
              <w:rPr>
                <w:rFonts w:hint="eastAsia" w:ascii="仿宋" w:hAnsi="仿宋" w:eastAsia="仿宋" w:cs="仿宋"/>
                <w:b w:val="0"/>
                <w:bCs w:val="0"/>
                <w:i w:val="0"/>
                <w:iCs w:val="0"/>
                <w:color w:val="000000"/>
                <w:sz w:val="24"/>
                <w:szCs w:val="24"/>
                <w:u w:val="none"/>
              </w:rPr>
            </w:pPr>
          </w:p>
        </w:tc>
      </w:tr>
      <w:tr w14:paraId="18DCC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8183" w:type="dxa"/>
            <w:gridSpan w:val="5"/>
            <w:tcBorders>
              <w:top w:val="single" w:color="000000" w:sz="4" w:space="0"/>
              <w:left w:val="single" w:color="000000" w:sz="8" w:space="0"/>
              <w:bottom w:val="single" w:color="000000" w:sz="4" w:space="0"/>
              <w:right w:val="single" w:color="000000" w:sz="4" w:space="0"/>
            </w:tcBorders>
            <w:shd w:val="clear" w:color="auto" w:fill="auto"/>
            <w:noWrap/>
            <w:vAlign w:val="center"/>
          </w:tcPr>
          <w:p w14:paraId="58032CD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二、语音通信平台系统</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EACA2">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bCs/>
                <w:i w:val="0"/>
                <w:iCs w:val="0"/>
                <w:color w:val="000000"/>
                <w:sz w:val="24"/>
                <w:szCs w:val="24"/>
                <w:u w:val="none"/>
              </w:rPr>
            </w:pPr>
          </w:p>
        </w:tc>
      </w:tr>
      <w:tr w14:paraId="1A68D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76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B35E6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FA95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 xml:space="preserve">名称        </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73D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型号/规格</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7D8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BB5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单位</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38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备注</w:t>
            </w:r>
          </w:p>
        </w:tc>
      </w:tr>
      <w:tr w14:paraId="42A8E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8" w:hRule="atLeast"/>
        </w:trPr>
        <w:tc>
          <w:tcPr>
            <w:tcW w:w="76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E4FEF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722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语音通信平台</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112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参数不低于：</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1、提供排队调度交换功能，支持全域一体化平台，120电话的集中汇接，自动分流；</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2、SIP用户≥30个；中继接入能力≥2条SIP中继接入，</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3、通讯模块：负责完成指挥中心与调度排队机之间的通讯，协调和管理网络中各座席及业务终端之间的通讯；</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4、任务管理模块：急救任务的排队并向各座席终端分配接警任务；</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5、状态监测模块：实时监测网上所有终端设备工作状态；</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6、日志管理模块：实时记录网上所有终端的工作状态；</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7、与市急救中心平台组成备份使用。</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5DD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FD6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7D4CE">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25A45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1" w:hRule="atLeast"/>
        </w:trPr>
        <w:tc>
          <w:tcPr>
            <w:tcW w:w="8183" w:type="dxa"/>
            <w:gridSpan w:val="5"/>
            <w:tcBorders>
              <w:top w:val="single" w:color="000000" w:sz="4" w:space="0"/>
              <w:left w:val="single" w:color="000000" w:sz="8" w:space="0"/>
              <w:bottom w:val="single" w:color="000000" w:sz="4" w:space="0"/>
              <w:right w:val="single" w:color="000000" w:sz="4" w:space="0"/>
            </w:tcBorders>
            <w:shd w:val="clear" w:color="auto" w:fill="auto"/>
            <w:noWrap/>
            <w:vAlign w:val="center"/>
          </w:tcPr>
          <w:p w14:paraId="1F96BB2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三、数字录音子系统</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0D3AB">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bCs/>
                <w:i w:val="0"/>
                <w:iCs w:val="0"/>
                <w:color w:val="000000"/>
                <w:sz w:val="24"/>
                <w:szCs w:val="24"/>
                <w:u w:val="none"/>
              </w:rPr>
            </w:pPr>
          </w:p>
        </w:tc>
      </w:tr>
      <w:tr w14:paraId="1AE9D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76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FE9BE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644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 xml:space="preserve">名称        </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C38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型号/规格</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0F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B0E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单位</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AB4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备注</w:t>
            </w:r>
          </w:p>
        </w:tc>
      </w:tr>
      <w:tr w14:paraId="2A7C4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6" w:hRule="atLeast"/>
        </w:trPr>
        <w:tc>
          <w:tcPr>
            <w:tcW w:w="76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93B84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C87F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本地急救录音服务终端</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E5D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参数不低于：</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1、对全域外线、模拟中继报警话机、对外联络话机等自动录音，采用智能录音盒方式，可实现统一权限管理、查询、下载。</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2、▲为保障产品售后服务质量，制造商需提供针对本项目的售后服务承诺书。</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C21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BE4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4CBEB">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603CC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818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F81D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四、急救分站受理及监控子系统</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F62AC">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bCs/>
                <w:i w:val="0"/>
                <w:iCs w:val="0"/>
                <w:color w:val="000000"/>
                <w:sz w:val="24"/>
                <w:szCs w:val="24"/>
                <w:u w:val="none"/>
              </w:rPr>
            </w:pPr>
          </w:p>
        </w:tc>
      </w:tr>
      <w:tr w14:paraId="62CF4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03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62B2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 xml:space="preserve">名称        </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C99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型号/规格</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835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C5F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单位</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1B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备注</w:t>
            </w:r>
          </w:p>
        </w:tc>
      </w:tr>
      <w:tr w14:paraId="7F1BF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746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4AA0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崇阳县域急救分站受理调度系统</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A4C0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参数不低于</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1.支持接收并显示来自咸宁市/崇阳县急救中心下达的调度指令并进行提示。</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2.支持接收急救中心下发的公告信息，并展示公告信息。</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3.支持对急救中心下发的调度指令进行反馈，反馈急救分站是否已处理。</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4.支持与急救中心实现数据双向传输。</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5.支持实现急救车辆调度派车功能，并可选择是否打印出车单功能。</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6.支持可动态跟踪本分站任务中的车辆，并实时监控车辆节点信息，如出车、到达现场、病人上车、送达医院、任务完成和返站等。</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7.▲支持信息查询功能：可查询本分站受理信息、出车信息等。</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8.▲本次项目建设是咸宁市公共卫生重大疫情信息平台项目120院前急救指挥调度系统在崇阳县急救中心的延伸部署，供应商所投产品必须保证支持部署在咸宁市卫健委云服务器平台，崇阳县急救中心不提供服务器部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69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964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99BB">
            <w:pPr>
              <w:keepNext w:val="0"/>
              <w:keepLines w:val="0"/>
              <w:pageBreakBefore w:val="0"/>
              <w:kinsoku/>
              <w:wordWrap/>
              <w:overflowPunct/>
              <w:topLinePunct w:val="0"/>
              <w:autoSpaceDE/>
              <w:autoSpaceDN/>
              <w:bidi w:val="0"/>
              <w:adjustRightInd/>
              <w:snapToGrid/>
              <w:spacing w:line="360" w:lineRule="auto"/>
              <w:jc w:val="center"/>
              <w:rPr>
                <w:rFonts w:hint="eastAsia" w:ascii="仿宋" w:hAnsi="仿宋" w:eastAsia="仿宋" w:cs="仿宋"/>
                <w:b w:val="0"/>
                <w:bCs w:val="0"/>
                <w:i w:val="0"/>
                <w:iCs w:val="0"/>
                <w:color w:val="000000"/>
                <w:sz w:val="24"/>
                <w:szCs w:val="24"/>
                <w:u w:val="none"/>
              </w:rPr>
            </w:pPr>
          </w:p>
        </w:tc>
      </w:tr>
      <w:tr w14:paraId="5CBC9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68"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5B0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536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崇阳县域急救GIS地图系统</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CF66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参数不低于：</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1、支持与咸宁市/崇阳县急救中心急救GIS地理信息地图系统兼容同步使用；                                                                                                                                                                 2、支持漫游、选取、多选、放大、缩小、测距、信息查询；                                                                                                                                                                             3、支持所在分站车辆地址精确定位；                                                                                                                                                           4、支持地址模糊搜索；                                                                                                                                                                    5、支持急救辅助决策；                                                                                                                                                                   6、支持所在分站车辆推荐；                                                                                                                                                         7、支持所在分站车辆到院距离估算；                                                                                                                                                                                   8、支持实时路况显示；                                                                                                                                                              9、支持路径规划；</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10.▲本次项目建设是咸宁市公共卫生重大疫情信息平台项目120院前急救指挥调度系统在崇阳县急救中心的延伸部署，供应商所投产品必须保证支持部署在咸宁市卫健委云服务器平台，崇阳县急救中心不提供服务器部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514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1B0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2DE9F">
            <w:pPr>
              <w:keepNext w:val="0"/>
              <w:keepLines w:val="0"/>
              <w:pageBreakBefore w:val="0"/>
              <w:kinsoku/>
              <w:wordWrap/>
              <w:overflowPunct/>
              <w:topLinePunct w:val="0"/>
              <w:autoSpaceDE/>
              <w:autoSpaceDN/>
              <w:bidi w:val="0"/>
              <w:adjustRightInd/>
              <w:snapToGrid/>
              <w:spacing w:line="360" w:lineRule="auto"/>
              <w:jc w:val="center"/>
              <w:rPr>
                <w:rFonts w:hint="eastAsia" w:ascii="仿宋" w:hAnsi="仿宋" w:eastAsia="仿宋" w:cs="仿宋"/>
                <w:b w:val="0"/>
                <w:bCs w:val="0"/>
                <w:i w:val="0"/>
                <w:iCs w:val="0"/>
                <w:color w:val="000000"/>
                <w:sz w:val="24"/>
                <w:szCs w:val="24"/>
                <w:u w:val="none"/>
              </w:rPr>
            </w:pPr>
          </w:p>
        </w:tc>
      </w:tr>
      <w:tr w14:paraId="7A596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trPr>
        <w:tc>
          <w:tcPr>
            <w:tcW w:w="818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E687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五、智能车载信息终端子系统</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67E9B">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bCs/>
                <w:i w:val="0"/>
                <w:iCs w:val="0"/>
                <w:color w:val="000000"/>
                <w:sz w:val="24"/>
                <w:szCs w:val="24"/>
                <w:u w:val="none"/>
              </w:rPr>
            </w:pPr>
          </w:p>
        </w:tc>
      </w:tr>
      <w:tr w14:paraId="7C354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1A6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1842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 xml:space="preserve">名称        </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2CF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型号/规格</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9C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8E3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单位</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404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备注</w:t>
            </w:r>
          </w:p>
        </w:tc>
      </w:tr>
      <w:tr w14:paraId="4D000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2"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C38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5824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智能车载信息终端</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A351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参数不低于：</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1、操作系统：≥Android 12；</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2、CPU：≥天玑7050，八核2.6Ghz；</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3、内存：运行内存≥12G，机身内存≥256G；扩展存储≥1T；</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4、屏幕尺寸：≥6.5 英寸，屏幕分辨率：≥2408*1080；</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5、蓝牙：≥5.0；定位：硬件单北斗定位；</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6、接口：支持TYPE-C，支持OTG，支持指纹识别；</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7、具备NFC功能：13.56MHz；支持协议：ISO14443A/B，ISO15693，读取距离：0-5cm：</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8、网络频段：5G全网通，双卡双待，向下兼容4G/3G/2G WIFI支持2.4G/5.0G/6G；</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9、前置摄像头：前置摄像头≥3000W及以上，后置摄像头≥1.08亿主摄+1600W夜视；音频：专业音频接口；</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10、前置双喇叭；</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11、电池：防爆电池容量：≥8200mAh；</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12、整机防护等级：≥IP68级防水防尘；采用机身设计需防水、防震、防尘，符合国家三防技术相关标准。</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13、对讲：支持公网PTT键对讲；传感器：距离传感器；地磁传感器；加速传感器；光线传感器；重力传感器；陀螺仪传感器；</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14、设备需具备▲电信入网许可证、▲国家强制性产品认证CCC证书、▲无线电发射设备型号核准证、▲单北斗定位检测报告、▲防护等级IP68检测报告。</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15、内置急救通车载终端软件并激活授权使用，接收指挥调度系统推送的急救信息并实时反馈给中心\分站受理台,其功能包括：（1）可接收来自急救中心的出车调度指令，提供市县两级联动的产品截图。（2） 接收公告消息（3）出车节点信息反馈（4）重大突发事件上报（5）位置监控（6）考勤操作（7）短息收发（8）语音通话（9）语音导航（10） 语音播报（11）可接收急救中心的出车调度指令和视频语音点名功能。</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16、▲为保障产品售后服务质量，制造商需提供针对本项目的售后服务承诺书。</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B5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8ED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DE60D">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75A6A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818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0357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六、车载视频监控及传输子系统</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33E8E">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bCs/>
                <w:i w:val="0"/>
                <w:iCs w:val="0"/>
                <w:color w:val="000000"/>
                <w:sz w:val="24"/>
                <w:szCs w:val="24"/>
                <w:u w:val="none"/>
              </w:rPr>
            </w:pPr>
          </w:p>
        </w:tc>
      </w:tr>
      <w:tr w14:paraId="52B36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DF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29EA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 xml:space="preserve">名称        </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FA9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型号/规格</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90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0BD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单位</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9FF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备注</w:t>
            </w:r>
          </w:p>
        </w:tc>
      </w:tr>
      <w:tr w14:paraId="1F6E0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3"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C6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096B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车载视频监控平台管理系统</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4EF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参数不低于：</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 支持对用户、角色、组织、区域、人员、设备等基础资源进行管理调配。要求支持用户权限管理，并支持多级管理；要求支持用户权限根据组织、资源点进行权限配置。</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 最大支持用户10000个，最大支持并发登陆500个用户。</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3) 系统具有高兼容性，支持ONVIF、国标协议设备接入。</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4) 运行管理中心提供统一的认证、授权管理机制，支持HTTPS以及密码安全加密访问认证。</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5) 支持以中心管理服务为核心的网络拓扑结构，支持对系统中的分组、服务器、组件等统计概览、查看。</w:t>
            </w:r>
            <w:bookmarkStart w:id="2" w:name="_GoBack"/>
            <w:bookmarkEnd w:id="2"/>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52E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74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C869D">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2E5A9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8"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CB9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84E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5G单兵执法记录仪</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1133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b w:val="0"/>
                <w:bCs w:val="0"/>
                <w:i w:val="0"/>
                <w:iCs w:val="0"/>
                <w:color w:val="000000"/>
                <w:kern w:val="0"/>
                <w:sz w:val="24"/>
                <w:szCs w:val="24"/>
                <w:u w:val="none"/>
                <w:lang w:val="en-US" w:eastAsia="zh-CN" w:bidi="ar"/>
              </w:rPr>
              <w:t>参数不低于：</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1、5G嵌入式防抖记录仪；2K高清录像。</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2、具备通过5G无线通信方式传输视频至中心视频平台功能。</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3、支持北斗定位，并将位置信息实时上传指挥中心。</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4、支持红外夜视功能，在光线较暗场景下，也能认清画面中人物的面部特征</w:t>
            </w:r>
          </w:p>
          <w:p w14:paraId="02F6695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5、三防设计，支持全天候野外作业；</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6、内置大容量电池，工作时间更长；</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7、支持云台机械防抖。</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8、▲为保障产品售后服务质量，制造商需提供针对本项目的售后服务承诺书。</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9、▲设备具备国家认可的单北斗定位终端检验证书；</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D05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A3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B38DB">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4E848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7E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05DB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车载网络硬盘录像机</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83C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参数不低于：</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1、产品类型：车载NVR；</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2、视频输入：支持4路PON，1080P；</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3、硬盘存储：支持2块2.5寸硬盘；</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4、SD卡存储：1张SD卡接口，硬盘坏或无硬盘时，抽帧录像；</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5、通信模块：全网通；</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6、定位模块：</w:t>
            </w:r>
            <w:r>
              <w:rPr>
                <w:rFonts w:hint="eastAsia" w:ascii="仿宋" w:hAnsi="仿宋" w:eastAsia="仿宋" w:cs="仿宋"/>
                <w:b/>
                <w:bCs/>
                <w:spacing w:val="1"/>
                <w:sz w:val="24"/>
                <w:szCs w:val="24"/>
              </w:rPr>
              <w:t>★</w:t>
            </w:r>
            <w:r>
              <w:rPr>
                <w:rFonts w:hint="eastAsia" w:ascii="仿宋" w:hAnsi="仿宋" w:eastAsia="仿宋" w:cs="仿宋"/>
                <w:b w:val="0"/>
                <w:bCs w:val="0"/>
                <w:i w:val="0"/>
                <w:iCs w:val="0"/>
                <w:color w:val="000000"/>
                <w:kern w:val="0"/>
                <w:sz w:val="24"/>
                <w:szCs w:val="24"/>
                <w:u w:val="none"/>
                <w:lang w:val="en-US" w:eastAsia="zh-CN" w:bidi="ar"/>
              </w:rPr>
              <w:t>标配北斗；</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7、电源输入：DC+8V～+36V；</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8、整机尺寸： ≥206mm(宽)×212mm(深)×60mm(高)；</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9、▲设备具备国家认可的单北斗定位终端检验证书；</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10、▲为保障产品售后服务质量，制造商需提供针对本项目的售后服务承诺书。</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1C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57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5A825">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22C72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3B0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4</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2CF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车载录像机通信模块</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39C9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 xml:space="preserve"> </w:t>
            </w:r>
            <w:r>
              <w:rPr>
                <w:rStyle w:val="10"/>
                <w:rFonts w:hint="eastAsia" w:ascii="仿宋" w:hAnsi="仿宋" w:eastAsia="仿宋" w:cs="仿宋"/>
                <w:b w:val="0"/>
                <w:bCs w:val="0"/>
                <w:sz w:val="24"/>
                <w:szCs w:val="24"/>
                <w:lang w:val="en-US" w:eastAsia="zh-CN" w:bidi="ar"/>
              </w:rPr>
              <w:t>1×4G卡槽,1×罗森伯格连接器Bands:LTE-FDD LTE: B1/B3/B5/B8；LTE-TDD: B34/B38/B39/B40/B41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47C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AE8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8E3EF">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04275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127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0C9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车载专用机械硬盘</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2BDA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2.5英寸2TB 5400 16M SATA</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F6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9F7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47FBD">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5F6E9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2A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6</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C6D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网络高清摄像机</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CB2C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参数不低于：</w:t>
            </w:r>
            <w:r>
              <w:rPr>
                <w:rFonts w:hint="eastAsia" w:ascii="仿宋" w:hAnsi="仿宋" w:eastAsia="仿宋" w:cs="仿宋"/>
                <w:b w:val="0"/>
                <w:bCs w:val="0"/>
                <w:i w:val="0"/>
                <w:iCs w:val="0"/>
                <w:color w:val="000000"/>
                <w:kern w:val="0"/>
                <w:sz w:val="24"/>
                <w:szCs w:val="24"/>
                <w:u w:val="none"/>
                <w:lang w:val="en-US" w:eastAsia="zh-CN" w:bidi="ar"/>
              </w:rPr>
              <w:br w:type="textWrapping"/>
            </w:r>
            <w:r>
              <w:rPr>
                <w:rFonts w:hint="eastAsia" w:ascii="仿宋" w:hAnsi="仿宋" w:eastAsia="仿宋" w:cs="仿宋"/>
                <w:b w:val="0"/>
                <w:bCs w:val="0"/>
                <w:i w:val="0"/>
                <w:iCs w:val="0"/>
                <w:color w:val="000000"/>
                <w:kern w:val="0"/>
                <w:sz w:val="24"/>
                <w:szCs w:val="24"/>
                <w:u w:val="none"/>
                <w:lang w:val="en-US" w:eastAsia="zh-CN" w:bidi="ar"/>
              </w:rPr>
              <w:t>像素：≥130万高清网络，H.265（分别安装在驾驶室和急救仓各1个共2个）</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BED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319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96786">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63BA6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1"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DD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7</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CF51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航空线缆</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DD17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配套车载专用线缆、9针车载视频专用航空线缆4M/6M，两根</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7FB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B4F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7E57B">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738CE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146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0BD3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车辆改装费</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51CE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车载视频安装取电改装、车内布线实施、线缆耗材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1E7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4A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1B813">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21E50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818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A86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七、急救大数据可视化展示系统</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53036">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bCs/>
                <w:i w:val="0"/>
                <w:iCs w:val="0"/>
                <w:color w:val="000000"/>
                <w:sz w:val="24"/>
                <w:szCs w:val="24"/>
                <w:u w:val="none"/>
              </w:rPr>
            </w:pPr>
          </w:p>
        </w:tc>
      </w:tr>
      <w:tr w14:paraId="1B69E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B4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581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 xml:space="preserve">名称        </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E6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型号/规格</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55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C2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单位</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C5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备注</w:t>
            </w:r>
          </w:p>
        </w:tc>
      </w:tr>
      <w:tr w14:paraId="18851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B8E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8C37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崇阳县域智慧急救大数据可视化服务软件</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0D94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利用大数据可视化展示工具仪表盘、雷达图、散点图、环形图、时间器、标准条形图及地图热力图等，实时展示急救大数据统计及分析数据，包括急救工作量（呼叫量、受理量、出车量）、急救响应时间（摘机响应时间、受理用时、出车用时、到达现场用时等）、车辆出诊情况大数据分析、急诊病类数据分析、话务量大数据分析、调度效率统计、崇阳县域智慧医疗急救大数据、急救病谱分析，呼救热力图等。▲本次项目建设是咸宁市公共卫生重大疫情信息平台项目120院前急救指挥调度系统在崇阳县急救中心的延伸部署，供应商所投产品必须保证支持部署在咸宁市卫健委云服务器平台，崇阳县急救中心不提供服务器部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B82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32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2F2EB">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1609F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10F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2DB8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数据仓库管理模块软件</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037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包括数据存储、数据立方体、数据集市等，利用数据立方体、OLAP在线分析软件进行运算和处理，形成各种纬度、不同应用的分析数据。</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2D0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F2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3CE20">
            <w:pPr>
              <w:keepNext w:val="0"/>
              <w:keepLines w:val="0"/>
              <w:pageBreakBefore w:val="0"/>
              <w:kinsoku/>
              <w:wordWrap/>
              <w:overflowPunct/>
              <w:topLinePunct w:val="0"/>
              <w:autoSpaceDE/>
              <w:autoSpaceDN/>
              <w:bidi w:val="0"/>
              <w:adjustRightInd/>
              <w:snapToGrid/>
              <w:spacing w:line="360" w:lineRule="auto"/>
              <w:jc w:val="center"/>
              <w:rPr>
                <w:rFonts w:hint="eastAsia" w:ascii="仿宋" w:hAnsi="仿宋" w:eastAsia="仿宋" w:cs="仿宋"/>
                <w:b w:val="0"/>
                <w:bCs w:val="0"/>
                <w:i w:val="0"/>
                <w:iCs w:val="0"/>
                <w:color w:val="000000"/>
                <w:sz w:val="24"/>
                <w:szCs w:val="24"/>
                <w:u w:val="none"/>
              </w:rPr>
            </w:pPr>
          </w:p>
        </w:tc>
      </w:tr>
      <w:tr w14:paraId="36BD4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2A0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FE8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ETL服务模块软件</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91B6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对急救生产数据进行提取、清洗、审核，提供人工审核功能，并将清洗及审核完成后的数据存入急救数据分析库。</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023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EFF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24E30">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790CD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CEA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4</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358C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OLAP服务模块软件</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603B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对清洗审核过的数据按工作量、效率及质控等方面进行统计、分析，进行多形式的展示及输出（打印及导出）。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60E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56D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5B42B">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230E4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8D1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8CE0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与120地理信息系统对接模块软件</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0392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对接互联网在线地图、互联网离线地图、专用网络专用地图服务和数据图层，为大数据展示平台定制地图服务。</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6D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A65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6A3F">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58C38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81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BAC1D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八、安装调试及系统集成服务</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2DE01">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bCs/>
                <w:i w:val="0"/>
                <w:iCs w:val="0"/>
                <w:color w:val="000000"/>
                <w:sz w:val="24"/>
                <w:szCs w:val="24"/>
                <w:u w:val="none"/>
              </w:rPr>
            </w:pPr>
          </w:p>
        </w:tc>
      </w:tr>
      <w:tr w14:paraId="4BADF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495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序号</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43F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 xml:space="preserve">名称        </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85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型号/规格</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0C3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数量</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D8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单位</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33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备注</w:t>
            </w:r>
          </w:p>
        </w:tc>
      </w:tr>
      <w:tr w14:paraId="75E00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0"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6EC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2B2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安装调试服务</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5B6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将咸宁市卫生健康委员会咸宁市公共卫生重大疫情信息平台项目，采购的区县级终端坐席部署在崇阳县域本地，含应用系统现场安装，调试，培训等系统集成费。</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16D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4DC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19F5">
            <w:pPr>
              <w:keepNext w:val="0"/>
              <w:keepLines w:val="0"/>
              <w:pageBreakBefore w:val="0"/>
              <w:kinsoku/>
              <w:wordWrap/>
              <w:overflowPunct/>
              <w:topLinePunct w:val="0"/>
              <w:autoSpaceDE/>
              <w:autoSpaceDN/>
              <w:bidi w:val="0"/>
              <w:adjustRightInd/>
              <w:snapToGrid/>
              <w:spacing w:line="360" w:lineRule="auto"/>
              <w:jc w:val="left"/>
              <w:rPr>
                <w:rFonts w:hint="eastAsia" w:ascii="仿宋" w:hAnsi="仿宋" w:eastAsia="仿宋" w:cs="仿宋"/>
                <w:b w:val="0"/>
                <w:bCs w:val="0"/>
                <w:i w:val="0"/>
                <w:iCs w:val="0"/>
                <w:color w:val="000000"/>
                <w:sz w:val="24"/>
                <w:szCs w:val="24"/>
                <w:u w:val="none"/>
              </w:rPr>
            </w:pPr>
          </w:p>
        </w:tc>
      </w:tr>
      <w:tr w14:paraId="5DCC4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4"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70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41E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系统集成服务</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30AA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承建方为急救中心现场开通系统接入，人员培训和维护工作。</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7A0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ED5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2B94">
            <w:pPr>
              <w:keepNext w:val="0"/>
              <w:keepLines w:val="0"/>
              <w:pageBreakBefore w:val="0"/>
              <w:kinsoku/>
              <w:wordWrap/>
              <w:overflowPunct/>
              <w:topLinePunct w:val="0"/>
              <w:autoSpaceDE/>
              <w:autoSpaceDN/>
              <w:bidi w:val="0"/>
              <w:adjustRightInd/>
              <w:snapToGrid/>
              <w:spacing w:line="360" w:lineRule="auto"/>
              <w:jc w:val="center"/>
              <w:rPr>
                <w:rFonts w:hint="eastAsia" w:ascii="仿宋" w:hAnsi="仿宋" w:eastAsia="仿宋" w:cs="仿宋"/>
                <w:b w:val="0"/>
                <w:bCs w:val="0"/>
                <w:i w:val="0"/>
                <w:iCs w:val="0"/>
                <w:color w:val="000000"/>
                <w:sz w:val="24"/>
                <w:szCs w:val="24"/>
                <w:u w:val="none"/>
              </w:rPr>
            </w:pPr>
          </w:p>
        </w:tc>
      </w:tr>
    </w:tbl>
    <w:p w14:paraId="3215C4CE">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val="0"/>
          <w:bCs w:val="0"/>
          <w:sz w:val="24"/>
          <w:szCs w:val="24"/>
        </w:rPr>
      </w:pPr>
    </w:p>
    <w:p w14:paraId="03EEAC85">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val="0"/>
          <w:bCs w:val="0"/>
          <w:sz w:val="24"/>
          <w:szCs w:val="24"/>
        </w:rPr>
      </w:pPr>
    </w:p>
    <w:p w14:paraId="6CB2B2B1">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val="0"/>
          <w:bCs w:val="0"/>
          <w:sz w:val="24"/>
          <w:szCs w:val="24"/>
        </w:rPr>
      </w:pPr>
    </w:p>
    <w:p w14:paraId="2DC5B1B5">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val="0"/>
          <w:bCs w:val="0"/>
          <w:sz w:val="24"/>
          <w:szCs w:val="24"/>
        </w:rPr>
      </w:pPr>
    </w:p>
    <w:p w14:paraId="04B76F45">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val="0"/>
          <w:bCs w:val="0"/>
          <w:sz w:val="24"/>
          <w:szCs w:val="24"/>
        </w:rPr>
      </w:pPr>
    </w:p>
    <w:p w14:paraId="4162238C">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val="0"/>
          <w:bCs w:val="0"/>
          <w:sz w:val="24"/>
          <w:szCs w:val="24"/>
        </w:rPr>
      </w:pPr>
    </w:p>
    <w:p w14:paraId="72ADFE63">
      <w:pPr>
        <w:spacing w:before="78" w:line="369" w:lineRule="auto"/>
        <w:ind w:left="49" w:right="411" w:firstLine="474"/>
        <w:rPr>
          <w:rFonts w:hint="eastAsia" w:ascii="仿宋" w:hAnsi="仿宋" w:eastAsia="仿宋" w:cs="仿宋"/>
          <w:sz w:val="24"/>
          <w:szCs w:val="24"/>
        </w:rPr>
      </w:pPr>
      <w:r>
        <w:rPr>
          <w:rFonts w:hint="eastAsia" w:ascii="仿宋" w:hAnsi="仿宋" w:eastAsia="仿宋" w:cs="仿宋"/>
          <w:b/>
          <w:bCs/>
          <w:spacing w:val="1"/>
          <w:sz w:val="24"/>
          <w:szCs w:val="24"/>
        </w:rPr>
        <w:t>标有“★</w:t>
      </w:r>
      <w:r>
        <w:rPr>
          <w:rFonts w:hint="eastAsia" w:ascii="仿宋" w:hAnsi="仿宋" w:eastAsia="仿宋" w:cs="仿宋"/>
          <w:spacing w:val="-83"/>
          <w:sz w:val="24"/>
          <w:szCs w:val="24"/>
        </w:rPr>
        <w:t xml:space="preserve"> </w:t>
      </w:r>
      <w:r>
        <w:rPr>
          <w:rFonts w:hint="eastAsia" w:ascii="仿宋" w:hAnsi="仿宋" w:eastAsia="仿宋" w:cs="仿宋"/>
          <w:b/>
          <w:bCs/>
          <w:spacing w:val="1"/>
          <w:sz w:val="24"/>
          <w:szCs w:val="24"/>
        </w:rPr>
        <w:t>”的地方均被视为重要指标要求，</w:t>
      </w:r>
      <w:r>
        <w:rPr>
          <w:rFonts w:hint="eastAsia" w:ascii="仿宋" w:hAnsi="仿宋" w:eastAsia="仿宋" w:cs="仿宋"/>
          <w:b/>
          <w:bCs/>
          <w:sz w:val="24"/>
          <w:szCs w:val="24"/>
        </w:rPr>
        <w:t>必须对此具体、明确响应并完全满足这些要求，否则作废标处理。</w:t>
      </w:r>
    </w:p>
    <w:p w14:paraId="61744274">
      <w:pPr>
        <w:spacing w:line="369" w:lineRule="auto"/>
        <w:ind w:left="50" w:right="198" w:firstLine="473"/>
        <w:rPr>
          <w:rFonts w:hint="eastAsia" w:ascii="仿宋" w:hAnsi="仿宋" w:eastAsia="仿宋" w:cs="仿宋"/>
          <w:spacing w:val="2"/>
          <w:sz w:val="24"/>
          <w:szCs w:val="24"/>
        </w:rPr>
      </w:pPr>
      <w:r>
        <w:rPr>
          <w:rFonts w:hint="eastAsia" w:ascii="仿宋" w:hAnsi="仿宋" w:eastAsia="仿宋" w:cs="仿宋"/>
          <w:spacing w:val="2"/>
          <w:sz w:val="24"/>
          <w:szCs w:val="24"/>
        </w:rPr>
        <w:t>标有“▲</w:t>
      </w:r>
      <w:r>
        <w:rPr>
          <w:rFonts w:hint="eastAsia" w:ascii="仿宋" w:hAnsi="仿宋" w:eastAsia="仿宋" w:cs="仿宋"/>
          <w:spacing w:val="-77"/>
          <w:sz w:val="24"/>
          <w:szCs w:val="24"/>
        </w:rPr>
        <w:t xml:space="preserve"> </w:t>
      </w:r>
      <w:r>
        <w:rPr>
          <w:rFonts w:hint="eastAsia" w:ascii="仿宋" w:hAnsi="仿宋" w:eastAsia="仿宋" w:cs="仿宋"/>
          <w:spacing w:val="2"/>
          <w:sz w:val="24"/>
          <w:szCs w:val="24"/>
        </w:rPr>
        <w:t>”的地方均被视为关键指标要求，必须对此具体、明确响应并完全满足这些要求，否则影响得分。</w:t>
      </w:r>
    </w:p>
    <w:p w14:paraId="531F9855">
      <w:pPr>
        <w:pStyle w:val="3"/>
        <w:bidi w:val="0"/>
        <w:rPr>
          <w:rFonts w:hint="eastAsia"/>
        </w:rPr>
      </w:pPr>
      <w:r>
        <w:rPr>
          <w:rFonts w:hint="eastAsia"/>
        </w:rPr>
        <w:t>三、技术要求</w:t>
      </w:r>
    </w:p>
    <w:p w14:paraId="0AC83550">
      <w:pPr>
        <w:pStyle w:val="4"/>
        <w:bidi w:val="0"/>
        <w:rPr>
          <w:rFonts w:hint="eastAsia"/>
        </w:rPr>
      </w:pPr>
      <w:r>
        <w:rPr>
          <w:rFonts w:hint="eastAsia"/>
        </w:rPr>
        <w:t>3.1.基本要求</w:t>
      </w:r>
    </w:p>
    <w:p w14:paraId="69C93873">
      <w:pPr>
        <w:pStyle w:val="5"/>
        <w:bidi w:val="0"/>
        <w:rPr>
          <w:rFonts w:hint="eastAsia" w:ascii="仿宋" w:hAnsi="仿宋" w:eastAsia="仿宋" w:cs="仿宋"/>
          <w:sz w:val="24"/>
          <w:szCs w:val="24"/>
        </w:rPr>
      </w:pPr>
      <w:r>
        <w:rPr>
          <w:rFonts w:hint="eastAsia" w:ascii="仿宋" w:hAnsi="仿宋" w:eastAsia="仿宋" w:cs="仿宋"/>
          <w:b/>
          <w:bCs/>
          <w:spacing w:val="-4"/>
          <w:sz w:val="24"/>
          <w:szCs w:val="24"/>
        </w:rPr>
        <w:t>3.1.1</w:t>
      </w:r>
      <w:r>
        <w:rPr>
          <w:rFonts w:hint="eastAsia" w:ascii="仿宋" w:hAnsi="仿宋" w:eastAsia="仿宋" w:cs="仿宋"/>
          <w:spacing w:val="-26"/>
          <w:sz w:val="24"/>
          <w:szCs w:val="24"/>
        </w:rPr>
        <w:t xml:space="preserve"> </w:t>
      </w:r>
      <w:r>
        <w:rPr>
          <w:rFonts w:hint="eastAsia" w:ascii="仿宋" w:hAnsi="仿宋" w:eastAsia="仿宋" w:cs="仿宋"/>
          <w:b/>
          <w:bCs/>
          <w:spacing w:val="-4"/>
          <w:sz w:val="24"/>
          <w:szCs w:val="24"/>
        </w:rPr>
        <w:t>采购标的需实现的功能或者目标</w:t>
      </w:r>
    </w:p>
    <w:p w14:paraId="0655AC55">
      <w:pPr>
        <w:spacing w:before="79" w:line="338" w:lineRule="auto"/>
        <w:ind w:left="49" w:right="202" w:firstLine="475"/>
        <w:jc w:val="both"/>
        <w:rPr>
          <w:rFonts w:hint="eastAsia" w:ascii="仿宋" w:hAnsi="仿宋" w:eastAsia="仿宋" w:cs="仿宋"/>
          <w:sz w:val="24"/>
          <w:szCs w:val="24"/>
        </w:rPr>
      </w:pPr>
      <w:r>
        <w:rPr>
          <w:rFonts w:hint="eastAsia" w:ascii="仿宋" w:hAnsi="仿宋" w:eastAsia="仿宋" w:cs="仿宋"/>
          <w:sz w:val="24"/>
          <w:szCs w:val="24"/>
        </w:rPr>
        <w:t>按照《医疗机构基本标准（试行）》（卫医</w:t>
      </w:r>
      <w:r>
        <w:rPr>
          <w:rFonts w:hint="eastAsia" w:ascii="仿宋" w:hAnsi="仿宋" w:eastAsia="仿宋" w:cs="仿宋"/>
          <w:spacing w:val="-1"/>
          <w:sz w:val="24"/>
          <w:szCs w:val="24"/>
        </w:rPr>
        <w:t>发〔1994〕30 号）和《急救中心建设标准》（建标〔2016〕268 号）的相关要求，建设县急救中心和各乡镇</w:t>
      </w:r>
      <w:r>
        <w:rPr>
          <w:rFonts w:hint="eastAsia" w:ascii="仿宋" w:hAnsi="仿宋" w:eastAsia="仿宋" w:cs="仿宋"/>
          <w:spacing w:val="-8"/>
          <w:sz w:val="24"/>
          <w:szCs w:val="24"/>
        </w:rPr>
        <w:t>医疗急救站。</w:t>
      </w:r>
    </w:p>
    <w:p w14:paraId="2D37A5CE">
      <w:pPr>
        <w:spacing w:before="1" w:line="220" w:lineRule="auto"/>
        <w:ind w:left="525"/>
        <w:rPr>
          <w:rFonts w:hint="eastAsia" w:ascii="仿宋" w:hAnsi="仿宋" w:eastAsia="仿宋" w:cs="仿宋"/>
          <w:sz w:val="24"/>
          <w:szCs w:val="24"/>
        </w:rPr>
      </w:pPr>
      <w:r>
        <w:rPr>
          <w:rFonts w:hint="eastAsia" w:ascii="仿宋" w:hAnsi="仿宋" w:eastAsia="仿宋" w:cs="仿宋"/>
          <w:spacing w:val="-1"/>
          <w:sz w:val="24"/>
          <w:szCs w:val="24"/>
        </w:rPr>
        <w:t>根据咸宁市卫生健康委员会办公室文件 咸卫办发（2019）39</w:t>
      </w:r>
      <w:r>
        <w:rPr>
          <w:rFonts w:hint="eastAsia" w:ascii="仿宋" w:hAnsi="仿宋" w:eastAsia="仿宋" w:cs="仿宋"/>
          <w:spacing w:val="-38"/>
          <w:sz w:val="24"/>
          <w:szCs w:val="24"/>
        </w:rPr>
        <w:t xml:space="preserve"> </w:t>
      </w:r>
      <w:r>
        <w:rPr>
          <w:rFonts w:hint="eastAsia" w:ascii="仿宋" w:hAnsi="仿宋" w:eastAsia="仿宋" w:cs="仿宋"/>
          <w:spacing w:val="-2"/>
          <w:sz w:val="24"/>
          <w:szCs w:val="24"/>
        </w:rPr>
        <w:t>号 附件</w:t>
      </w:r>
      <w:r>
        <w:rPr>
          <w:rFonts w:hint="eastAsia" w:ascii="仿宋" w:hAnsi="仿宋" w:eastAsia="仿宋" w:cs="仿宋"/>
          <w:spacing w:val="-53"/>
          <w:sz w:val="24"/>
          <w:szCs w:val="24"/>
        </w:rPr>
        <w:t xml:space="preserve"> </w:t>
      </w:r>
      <w:r>
        <w:rPr>
          <w:rFonts w:hint="eastAsia" w:ascii="仿宋" w:hAnsi="仿宋" w:eastAsia="仿宋" w:cs="仿宋"/>
          <w:spacing w:val="-2"/>
          <w:sz w:val="24"/>
          <w:szCs w:val="24"/>
        </w:rPr>
        <w:t>4</w:t>
      </w:r>
    </w:p>
    <w:p w14:paraId="6DB47F54">
      <w:pPr>
        <w:spacing w:before="154" w:line="333" w:lineRule="auto"/>
        <w:ind w:left="43" w:right="322" w:hanging="4"/>
        <w:rPr>
          <w:rFonts w:hint="eastAsia" w:ascii="仿宋" w:hAnsi="仿宋" w:eastAsia="仿宋" w:cs="仿宋"/>
          <w:sz w:val="24"/>
          <w:szCs w:val="24"/>
        </w:rPr>
      </w:pPr>
      <w:r>
        <w:rPr>
          <w:rFonts w:hint="eastAsia" w:ascii="仿宋" w:hAnsi="仿宋" w:eastAsia="仿宋" w:cs="仿宋"/>
          <w:sz w:val="24"/>
          <w:szCs w:val="24"/>
        </w:rPr>
        <w:t>《咸宁市全域一体化紧急医学救援平台建设方案》的</w:t>
      </w:r>
      <w:r>
        <w:rPr>
          <w:rFonts w:hint="eastAsia" w:ascii="仿宋" w:hAnsi="仿宋" w:eastAsia="仿宋" w:cs="仿宋"/>
          <w:spacing w:val="-1"/>
          <w:sz w:val="24"/>
          <w:szCs w:val="24"/>
        </w:rPr>
        <w:t>要求。为了推进咸宁市全域一体化智慧急救指挥调度云平台建设，配合咸宁市胸痛中心全市模式医联体</w:t>
      </w:r>
      <w:r>
        <w:rPr>
          <w:rFonts w:hint="eastAsia" w:ascii="仿宋" w:hAnsi="仿宋" w:eastAsia="仿宋" w:cs="仿宋"/>
          <w:spacing w:val="-2"/>
          <w:sz w:val="24"/>
          <w:szCs w:val="24"/>
        </w:rPr>
        <w:t>建设方案的要求，推进县、市级</w:t>
      </w:r>
      <w:r>
        <w:rPr>
          <w:rFonts w:hint="eastAsia" w:ascii="仿宋" w:hAnsi="仿宋" w:eastAsia="仿宋" w:cs="仿宋"/>
          <w:spacing w:val="-22"/>
          <w:sz w:val="24"/>
          <w:szCs w:val="24"/>
        </w:rPr>
        <w:t xml:space="preserve"> </w:t>
      </w:r>
      <w:r>
        <w:rPr>
          <w:rFonts w:hint="eastAsia" w:ascii="仿宋" w:hAnsi="仿宋" w:eastAsia="仿宋" w:cs="仿宋"/>
          <w:spacing w:val="-2"/>
          <w:sz w:val="24"/>
          <w:szCs w:val="24"/>
        </w:rPr>
        <w:t>120</w:t>
      </w:r>
      <w:r>
        <w:rPr>
          <w:rFonts w:hint="eastAsia" w:ascii="仿宋" w:hAnsi="仿宋" w:eastAsia="仿宋" w:cs="仿宋"/>
          <w:spacing w:val="-44"/>
          <w:sz w:val="24"/>
          <w:szCs w:val="24"/>
        </w:rPr>
        <w:t xml:space="preserve"> </w:t>
      </w:r>
      <w:r>
        <w:rPr>
          <w:rFonts w:hint="eastAsia" w:ascii="仿宋" w:hAnsi="仿宋" w:eastAsia="仿宋" w:cs="仿宋"/>
          <w:spacing w:val="-2"/>
          <w:sz w:val="24"/>
          <w:szCs w:val="24"/>
        </w:rPr>
        <w:t>指挥调度系统，统一受理界面、统一调度</w:t>
      </w:r>
      <w:r>
        <w:rPr>
          <w:rFonts w:hint="eastAsia" w:ascii="仿宋" w:hAnsi="仿宋" w:eastAsia="仿宋" w:cs="仿宋"/>
          <w:spacing w:val="-1"/>
          <w:sz w:val="24"/>
          <w:szCs w:val="24"/>
        </w:rPr>
        <w:t>流程、统一数据格式、统一调度指挥，实现市、县、乡一体化救援平台体系建</w:t>
      </w:r>
      <w:r>
        <w:rPr>
          <w:rFonts w:hint="eastAsia" w:ascii="仿宋" w:hAnsi="仿宋" w:eastAsia="仿宋" w:cs="仿宋"/>
          <w:spacing w:val="1"/>
          <w:sz w:val="24"/>
          <w:szCs w:val="24"/>
        </w:rPr>
        <w:t>设，实现咸宁市范围内</w:t>
      </w:r>
      <w:r>
        <w:rPr>
          <w:rFonts w:hint="eastAsia" w:ascii="仿宋" w:hAnsi="仿宋" w:eastAsia="仿宋" w:cs="仿宋"/>
          <w:spacing w:val="-19"/>
          <w:sz w:val="24"/>
          <w:szCs w:val="24"/>
        </w:rPr>
        <w:t xml:space="preserve"> </w:t>
      </w:r>
      <w:r>
        <w:rPr>
          <w:rFonts w:hint="eastAsia" w:ascii="仿宋" w:hAnsi="仿宋" w:eastAsia="仿宋" w:cs="仿宋"/>
          <w:spacing w:val="1"/>
          <w:sz w:val="24"/>
          <w:szCs w:val="24"/>
        </w:rPr>
        <w:t>120</w:t>
      </w:r>
      <w:r>
        <w:rPr>
          <w:rFonts w:hint="eastAsia" w:ascii="仿宋" w:hAnsi="仿宋" w:eastAsia="仿宋" w:cs="仿宋"/>
          <w:spacing w:val="-32"/>
          <w:sz w:val="24"/>
          <w:szCs w:val="24"/>
        </w:rPr>
        <w:t xml:space="preserve"> </w:t>
      </w:r>
      <w:r>
        <w:rPr>
          <w:rFonts w:hint="eastAsia" w:ascii="仿宋" w:hAnsi="仿宋" w:eastAsia="仿宋" w:cs="仿宋"/>
          <w:spacing w:val="1"/>
          <w:sz w:val="24"/>
          <w:szCs w:val="24"/>
        </w:rPr>
        <w:t>呼救电话采取“分散接警、协同处警、统一管理”</w:t>
      </w:r>
      <w:r>
        <w:rPr>
          <w:rFonts w:hint="eastAsia" w:ascii="仿宋" w:hAnsi="仿宋" w:eastAsia="仿宋" w:cs="仿宋"/>
          <w:spacing w:val="-2"/>
          <w:sz w:val="24"/>
          <w:szCs w:val="24"/>
        </w:rPr>
        <w:t>的指挥模式，数据集中存储、呼救分区受理、大数据资源共享。</w:t>
      </w:r>
    </w:p>
    <w:p w14:paraId="56550D82">
      <w:pPr>
        <w:spacing w:before="2" w:line="338" w:lineRule="auto"/>
        <w:ind w:right="175" w:firstLine="476" w:firstLineChars="200"/>
        <w:rPr>
          <w:rFonts w:hint="eastAsia" w:ascii="仿宋" w:hAnsi="仿宋" w:eastAsia="仿宋" w:cs="仿宋"/>
          <w:sz w:val="24"/>
          <w:szCs w:val="24"/>
        </w:rPr>
      </w:pPr>
      <w:r>
        <w:rPr>
          <w:rFonts w:hint="eastAsia" w:ascii="仿宋" w:hAnsi="仿宋" w:eastAsia="仿宋" w:cs="仿宋"/>
          <w:spacing w:val="-1"/>
          <w:sz w:val="24"/>
          <w:szCs w:val="24"/>
        </w:rPr>
        <w:t>根据业务工作需要、厉行节约原则，合理配置急救中心（站）急救车数</w:t>
      </w:r>
      <w:r>
        <w:rPr>
          <w:rFonts w:hint="eastAsia" w:ascii="仿宋" w:hAnsi="仿宋" w:eastAsia="仿宋" w:cs="仿宋"/>
          <w:sz w:val="24"/>
          <w:szCs w:val="24"/>
        </w:rPr>
        <w:t>量。遵循合理、必须、均衡原则，完善不同</w:t>
      </w:r>
      <w:r>
        <w:rPr>
          <w:rFonts w:hint="eastAsia" w:ascii="仿宋" w:hAnsi="仿宋" w:eastAsia="仿宋" w:cs="仿宋"/>
          <w:spacing w:val="-1"/>
          <w:sz w:val="24"/>
          <w:szCs w:val="24"/>
        </w:rPr>
        <w:t>用途和性能急救车配备，规范医疗</w:t>
      </w:r>
      <w:r>
        <w:rPr>
          <w:rFonts w:hint="eastAsia" w:ascii="仿宋" w:hAnsi="仿宋" w:eastAsia="仿宋" w:cs="仿宋"/>
          <w:sz w:val="24"/>
          <w:szCs w:val="24"/>
        </w:rPr>
        <w:t>救护秩序，急救车等急救运载工具以及人员</w:t>
      </w:r>
      <w:r>
        <w:rPr>
          <w:rFonts w:hint="eastAsia" w:ascii="仿宋" w:hAnsi="仿宋" w:eastAsia="仿宋" w:cs="仿宋"/>
          <w:spacing w:val="-1"/>
          <w:sz w:val="24"/>
          <w:szCs w:val="24"/>
        </w:rPr>
        <w:t>着装统一标识，统一标注急救中心（站）名称和院前医疗急救呼叫号码。各急救中心救护车辆必须统一安装</w:t>
      </w:r>
      <w:r>
        <w:rPr>
          <w:rFonts w:hint="eastAsia" w:ascii="仿宋" w:hAnsi="仿宋" w:eastAsia="仿宋" w:cs="仿宋"/>
          <w:sz w:val="24"/>
          <w:szCs w:val="24"/>
        </w:rPr>
        <w:t>4G/5G 定位系统和车内可视装置，实现“上车即入院”，</w:t>
      </w:r>
      <w:r>
        <w:rPr>
          <w:rFonts w:hint="eastAsia" w:ascii="仿宋" w:hAnsi="仿宋" w:eastAsia="仿宋" w:cs="仿宋"/>
          <w:spacing w:val="-1"/>
          <w:sz w:val="24"/>
          <w:szCs w:val="24"/>
        </w:rPr>
        <w:t>在救护车上实行提前治疗；切实为全县人民群众提供全方位全周期的健康服务，更好地满足人民群众基本医疗卫生服务需求，以及多样化、多层次健康需求，满足公立医院高质</w:t>
      </w:r>
      <w:r>
        <w:rPr>
          <w:rFonts w:hint="eastAsia" w:ascii="仿宋" w:hAnsi="仿宋" w:eastAsia="仿宋" w:cs="仿宋"/>
          <w:spacing w:val="-7"/>
          <w:sz w:val="24"/>
          <w:szCs w:val="24"/>
        </w:rPr>
        <w:t>量发展的需要。</w:t>
      </w:r>
    </w:p>
    <w:p w14:paraId="601A522E">
      <w:pPr>
        <w:pStyle w:val="5"/>
        <w:bidi w:val="0"/>
        <w:rPr>
          <w:rFonts w:hint="eastAsia" w:ascii="仿宋" w:hAnsi="仿宋" w:eastAsia="仿宋" w:cs="仿宋"/>
          <w:sz w:val="24"/>
          <w:szCs w:val="24"/>
        </w:rPr>
      </w:pPr>
      <w:r>
        <w:rPr>
          <w:rFonts w:hint="eastAsia" w:ascii="仿宋" w:hAnsi="仿宋" w:eastAsia="仿宋" w:cs="仿宋"/>
          <w:b/>
          <w:bCs/>
          <w:spacing w:val="-3"/>
          <w:sz w:val="24"/>
          <w:szCs w:val="24"/>
        </w:rPr>
        <w:t>3.1.2</w:t>
      </w:r>
      <w:r>
        <w:rPr>
          <w:rFonts w:hint="eastAsia" w:ascii="仿宋" w:hAnsi="仿宋" w:eastAsia="仿宋" w:cs="仿宋"/>
          <w:spacing w:val="-20"/>
          <w:sz w:val="24"/>
          <w:szCs w:val="24"/>
        </w:rPr>
        <w:t xml:space="preserve"> </w:t>
      </w:r>
      <w:r>
        <w:rPr>
          <w:rFonts w:hint="eastAsia" w:ascii="仿宋" w:hAnsi="仿宋" w:eastAsia="仿宋" w:cs="仿宋"/>
          <w:b/>
          <w:bCs/>
          <w:spacing w:val="-3"/>
          <w:sz w:val="24"/>
          <w:szCs w:val="24"/>
        </w:rPr>
        <w:t>需执行的国家相关标准、行业标准、地方标准或者其他标准、规范</w:t>
      </w:r>
    </w:p>
    <w:p w14:paraId="2545536F">
      <w:pPr>
        <w:spacing w:before="78" w:line="222" w:lineRule="auto"/>
        <w:ind w:left="522"/>
        <w:rPr>
          <w:rFonts w:hint="eastAsia" w:ascii="仿宋" w:hAnsi="仿宋" w:eastAsia="仿宋" w:cs="仿宋"/>
          <w:sz w:val="24"/>
          <w:szCs w:val="24"/>
        </w:rPr>
      </w:pPr>
      <w:r>
        <w:rPr>
          <w:rFonts w:hint="eastAsia" w:ascii="仿宋" w:hAnsi="仿宋" w:eastAsia="仿宋" w:cs="仿宋"/>
          <w:spacing w:val="-3"/>
          <w:sz w:val="24"/>
          <w:szCs w:val="24"/>
        </w:rPr>
        <w:t>3.1.2.1</w:t>
      </w:r>
      <w:r>
        <w:rPr>
          <w:rFonts w:hint="eastAsia" w:ascii="仿宋" w:hAnsi="仿宋" w:eastAsia="仿宋" w:cs="仿宋"/>
          <w:spacing w:val="-37"/>
          <w:sz w:val="24"/>
          <w:szCs w:val="24"/>
        </w:rPr>
        <w:t xml:space="preserve"> </w:t>
      </w:r>
      <w:r>
        <w:rPr>
          <w:rFonts w:hint="eastAsia" w:ascii="仿宋" w:hAnsi="仿宋" w:eastAsia="仿宋" w:cs="仿宋"/>
          <w:spacing w:val="-3"/>
          <w:sz w:val="24"/>
          <w:szCs w:val="24"/>
        </w:rPr>
        <w:t>政策文件</w:t>
      </w:r>
    </w:p>
    <w:p w14:paraId="488AB5FC">
      <w:pPr>
        <w:spacing w:before="179" w:line="360" w:lineRule="auto"/>
        <w:ind w:left="44" w:right="64" w:firstLine="514"/>
        <w:rPr>
          <w:rFonts w:hint="eastAsia" w:ascii="仿宋" w:hAnsi="仿宋" w:eastAsia="仿宋" w:cs="仿宋"/>
          <w:sz w:val="24"/>
          <w:szCs w:val="24"/>
        </w:rPr>
      </w:pPr>
      <w:r>
        <w:rPr>
          <w:rFonts w:hint="eastAsia" w:ascii="仿宋" w:hAnsi="仿宋" w:eastAsia="仿宋" w:cs="仿宋"/>
          <w:spacing w:val="-2"/>
          <w:sz w:val="24"/>
          <w:szCs w:val="24"/>
        </w:rPr>
        <w:t>(1)国务院办公厅《关于促进和规范健康医疗大数据应用发展的指导意见》</w:t>
      </w:r>
      <w:r>
        <w:rPr>
          <w:rFonts w:hint="eastAsia" w:ascii="仿宋" w:hAnsi="仿宋" w:eastAsia="仿宋" w:cs="仿宋"/>
          <w:spacing w:val="7"/>
          <w:sz w:val="24"/>
          <w:szCs w:val="24"/>
        </w:rPr>
        <w:t xml:space="preserve"> </w:t>
      </w:r>
      <w:r>
        <w:rPr>
          <w:rFonts w:hint="eastAsia" w:ascii="仿宋" w:hAnsi="仿宋" w:eastAsia="仿宋" w:cs="仿宋"/>
          <w:spacing w:val="-4"/>
          <w:sz w:val="24"/>
          <w:szCs w:val="24"/>
        </w:rPr>
        <w:t>（国办发〔2016〕47</w:t>
      </w:r>
      <w:r>
        <w:rPr>
          <w:rFonts w:hint="eastAsia" w:ascii="仿宋" w:hAnsi="仿宋" w:eastAsia="仿宋" w:cs="仿宋"/>
          <w:spacing w:val="-37"/>
          <w:sz w:val="24"/>
          <w:szCs w:val="24"/>
        </w:rPr>
        <w:t xml:space="preserve"> </w:t>
      </w:r>
      <w:r>
        <w:rPr>
          <w:rFonts w:hint="eastAsia" w:ascii="仿宋" w:hAnsi="仿宋" w:eastAsia="仿宋" w:cs="仿宋"/>
          <w:spacing w:val="-4"/>
          <w:sz w:val="24"/>
          <w:szCs w:val="24"/>
        </w:rPr>
        <w:t>号</w:t>
      </w:r>
      <w:r>
        <w:rPr>
          <w:rFonts w:hint="eastAsia" w:ascii="仿宋" w:hAnsi="仿宋" w:eastAsia="仿宋" w:cs="仿宋"/>
          <w:spacing w:val="-8"/>
          <w:sz w:val="24"/>
          <w:szCs w:val="24"/>
        </w:rPr>
        <w:t>）；</w:t>
      </w:r>
    </w:p>
    <w:p w14:paraId="1C4CF8C1">
      <w:pPr>
        <w:spacing w:line="360" w:lineRule="auto"/>
        <w:ind w:left="65" w:right="793" w:firstLine="494"/>
        <w:rPr>
          <w:rFonts w:hint="eastAsia" w:ascii="仿宋" w:hAnsi="仿宋" w:eastAsia="仿宋" w:cs="仿宋"/>
          <w:sz w:val="24"/>
          <w:szCs w:val="24"/>
        </w:rPr>
      </w:pPr>
      <w:r>
        <w:rPr>
          <w:rFonts w:hint="eastAsia" w:ascii="仿宋" w:hAnsi="仿宋" w:eastAsia="仿宋" w:cs="仿宋"/>
          <w:spacing w:val="-2"/>
          <w:sz w:val="24"/>
          <w:szCs w:val="24"/>
        </w:rPr>
        <w:t>(2)《国务院办公厅关于推动公立医院高质量发</w:t>
      </w:r>
      <w:r>
        <w:rPr>
          <w:rFonts w:hint="eastAsia" w:ascii="仿宋" w:hAnsi="仿宋" w:eastAsia="仿宋" w:cs="仿宋"/>
          <w:spacing w:val="-3"/>
          <w:sz w:val="24"/>
          <w:szCs w:val="24"/>
        </w:rPr>
        <w:t>展的意见》（国办发</w:t>
      </w:r>
      <w:r>
        <w:rPr>
          <w:rFonts w:hint="eastAsia" w:ascii="仿宋" w:hAnsi="仿宋" w:eastAsia="仿宋" w:cs="仿宋"/>
          <w:spacing w:val="-7"/>
          <w:sz w:val="24"/>
          <w:szCs w:val="24"/>
        </w:rPr>
        <w:t>〔2021〕18</w:t>
      </w:r>
      <w:r>
        <w:rPr>
          <w:rFonts w:hint="eastAsia" w:ascii="仿宋" w:hAnsi="仿宋" w:eastAsia="仿宋" w:cs="仿宋"/>
          <w:spacing w:val="-39"/>
          <w:sz w:val="24"/>
          <w:szCs w:val="24"/>
        </w:rPr>
        <w:t xml:space="preserve"> </w:t>
      </w:r>
      <w:r>
        <w:rPr>
          <w:rFonts w:hint="eastAsia" w:ascii="仿宋" w:hAnsi="仿宋" w:eastAsia="仿宋" w:cs="仿宋"/>
          <w:spacing w:val="-7"/>
          <w:sz w:val="24"/>
          <w:szCs w:val="24"/>
        </w:rPr>
        <w:t>号</w:t>
      </w:r>
      <w:r>
        <w:rPr>
          <w:rFonts w:hint="eastAsia" w:ascii="仿宋" w:hAnsi="仿宋" w:eastAsia="仿宋" w:cs="仿宋"/>
          <w:spacing w:val="-12"/>
          <w:sz w:val="24"/>
          <w:szCs w:val="24"/>
        </w:rPr>
        <w:t>）；</w:t>
      </w:r>
    </w:p>
    <w:p w14:paraId="77FA09FB">
      <w:pPr>
        <w:spacing w:line="360" w:lineRule="auto"/>
        <w:ind w:left="65" w:right="655" w:firstLine="494"/>
        <w:rPr>
          <w:rFonts w:hint="eastAsia" w:ascii="仿宋" w:hAnsi="仿宋" w:eastAsia="仿宋" w:cs="仿宋"/>
          <w:sz w:val="24"/>
          <w:szCs w:val="24"/>
        </w:rPr>
      </w:pPr>
      <w:r>
        <w:rPr>
          <w:rFonts w:hint="eastAsia" w:ascii="仿宋" w:hAnsi="仿宋" w:eastAsia="仿宋" w:cs="仿宋"/>
          <w:spacing w:val="-2"/>
          <w:sz w:val="24"/>
          <w:szCs w:val="24"/>
        </w:rPr>
        <w:t>(3)《关于开展互联网+院前医疗急救试点工作的通知》（国卫办医函</w:t>
      </w:r>
      <w:r>
        <w:rPr>
          <w:rFonts w:hint="eastAsia" w:ascii="仿宋" w:hAnsi="仿宋" w:eastAsia="仿宋" w:cs="仿宋"/>
          <w:spacing w:val="-7"/>
          <w:sz w:val="24"/>
          <w:szCs w:val="24"/>
        </w:rPr>
        <w:t>〔2019〕588</w:t>
      </w:r>
      <w:r>
        <w:rPr>
          <w:rFonts w:hint="eastAsia" w:ascii="仿宋" w:hAnsi="仿宋" w:eastAsia="仿宋" w:cs="仿宋"/>
          <w:spacing w:val="-38"/>
          <w:sz w:val="24"/>
          <w:szCs w:val="24"/>
        </w:rPr>
        <w:t xml:space="preserve"> </w:t>
      </w:r>
      <w:r>
        <w:rPr>
          <w:rFonts w:hint="eastAsia" w:ascii="仿宋" w:hAnsi="仿宋" w:eastAsia="仿宋" w:cs="仿宋"/>
          <w:spacing w:val="-7"/>
          <w:sz w:val="24"/>
          <w:szCs w:val="24"/>
        </w:rPr>
        <w:t>号</w:t>
      </w:r>
      <w:r>
        <w:rPr>
          <w:rFonts w:hint="eastAsia" w:ascii="仿宋" w:hAnsi="仿宋" w:eastAsia="仿宋" w:cs="仿宋"/>
          <w:spacing w:val="-9"/>
          <w:sz w:val="24"/>
          <w:szCs w:val="24"/>
        </w:rPr>
        <w:t>）；</w:t>
      </w:r>
    </w:p>
    <w:p w14:paraId="5EFA86D3">
      <w:pPr>
        <w:spacing w:line="360" w:lineRule="auto"/>
        <w:ind w:left="65" w:right="55" w:firstLine="494"/>
        <w:rPr>
          <w:rFonts w:hint="eastAsia" w:ascii="仿宋" w:hAnsi="仿宋" w:eastAsia="仿宋" w:cs="仿宋"/>
          <w:sz w:val="24"/>
          <w:szCs w:val="24"/>
        </w:rPr>
      </w:pPr>
      <w:r>
        <w:rPr>
          <w:rFonts w:hint="eastAsia" w:ascii="仿宋" w:hAnsi="仿宋" w:eastAsia="仿宋" w:cs="仿宋"/>
          <w:spacing w:val="-2"/>
          <w:sz w:val="24"/>
          <w:szCs w:val="24"/>
        </w:rPr>
        <w:t>(4)《关于印发进一步完善院前医疗急救服务指导意见的通知》（国卫医发</w:t>
      </w:r>
      <w:r>
        <w:rPr>
          <w:rFonts w:hint="eastAsia" w:ascii="仿宋" w:hAnsi="仿宋" w:eastAsia="仿宋" w:cs="仿宋"/>
          <w:spacing w:val="-7"/>
          <w:sz w:val="24"/>
          <w:szCs w:val="24"/>
        </w:rPr>
        <w:t>〔2020〕19</w:t>
      </w:r>
      <w:r>
        <w:rPr>
          <w:rFonts w:hint="eastAsia" w:ascii="仿宋" w:hAnsi="仿宋" w:eastAsia="仿宋" w:cs="仿宋"/>
          <w:spacing w:val="-39"/>
          <w:sz w:val="24"/>
          <w:szCs w:val="24"/>
        </w:rPr>
        <w:t xml:space="preserve"> </w:t>
      </w:r>
      <w:r>
        <w:rPr>
          <w:rFonts w:hint="eastAsia" w:ascii="仿宋" w:hAnsi="仿宋" w:eastAsia="仿宋" w:cs="仿宋"/>
          <w:spacing w:val="-7"/>
          <w:sz w:val="24"/>
          <w:szCs w:val="24"/>
        </w:rPr>
        <w:t>号</w:t>
      </w:r>
      <w:r>
        <w:rPr>
          <w:rFonts w:hint="eastAsia" w:ascii="仿宋" w:hAnsi="仿宋" w:eastAsia="仿宋" w:cs="仿宋"/>
          <w:spacing w:val="-12"/>
          <w:sz w:val="24"/>
          <w:szCs w:val="24"/>
        </w:rPr>
        <w:t>）；</w:t>
      </w:r>
    </w:p>
    <w:p w14:paraId="173CF24C">
      <w:pPr>
        <w:spacing w:line="360" w:lineRule="auto"/>
        <w:ind w:left="47" w:right="55" w:firstLine="511"/>
        <w:rPr>
          <w:rFonts w:hint="eastAsia" w:ascii="仿宋" w:hAnsi="仿宋" w:eastAsia="仿宋" w:cs="仿宋"/>
          <w:sz w:val="24"/>
          <w:szCs w:val="24"/>
        </w:rPr>
      </w:pPr>
      <w:r>
        <w:rPr>
          <w:rFonts w:hint="eastAsia" w:ascii="仿宋" w:hAnsi="仿宋" w:eastAsia="仿宋" w:cs="仿宋"/>
          <w:spacing w:val="-2"/>
          <w:sz w:val="24"/>
          <w:szCs w:val="24"/>
        </w:rPr>
        <w:t>(5)《国家卫生健康委办公厅关于新冠肺炎疫情防控常态化下进一步提高院前医疗急救应对能力的通知》（国卫办医函〔2020〕557</w:t>
      </w:r>
      <w:r>
        <w:rPr>
          <w:rFonts w:hint="eastAsia" w:ascii="仿宋" w:hAnsi="仿宋" w:eastAsia="仿宋" w:cs="仿宋"/>
          <w:spacing w:val="-38"/>
          <w:sz w:val="24"/>
          <w:szCs w:val="24"/>
        </w:rPr>
        <w:t xml:space="preserve"> </w:t>
      </w:r>
      <w:r>
        <w:rPr>
          <w:rFonts w:hint="eastAsia" w:ascii="仿宋" w:hAnsi="仿宋" w:eastAsia="仿宋" w:cs="仿宋"/>
          <w:spacing w:val="-2"/>
          <w:sz w:val="24"/>
          <w:szCs w:val="24"/>
        </w:rPr>
        <w:t>号</w:t>
      </w:r>
      <w:r>
        <w:rPr>
          <w:rFonts w:hint="eastAsia" w:ascii="仿宋" w:hAnsi="仿宋" w:eastAsia="仿宋" w:cs="仿宋"/>
          <w:spacing w:val="-6"/>
          <w:sz w:val="24"/>
          <w:szCs w:val="24"/>
        </w:rPr>
        <w:t>）；</w:t>
      </w:r>
    </w:p>
    <w:p w14:paraId="72233774">
      <w:pPr>
        <w:spacing w:line="360" w:lineRule="auto"/>
        <w:ind w:left="46" w:right="55" w:firstLine="512"/>
        <w:rPr>
          <w:rFonts w:hint="eastAsia" w:ascii="仿宋" w:hAnsi="仿宋" w:eastAsia="仿宋" w:cs="仿宋"/>
          <w:sz w:val="24"/>
          <w:szCs w:val="24"/>
        </w:rPr>
      </w:pPr>
      <w:r>
        <w:rPr>
          <w:rFonts w:hint="eastAsia" w:ascii="仿宋" w:hAnsi="仿宋" w:eastAsia="仿宋" w:cs="仿宋"/>
          <w:spacing w:val="-2"/>
          <w:sz w:val="24"/>
          <w:szCs w:val="24"/>
        </w:rPr>
        <w:t>(6)《省委办公厅省政府办公厅关于进一步加强院前急救体系建设的实施意</w:t>
      </w:r>
      <w:r>
        <w:rPr>
          <w:rFonts w:hint="eastAsia" w:ascii="仿宋" w:hAnsi="仿宋" w:eastAsia="仿宋" w:cs="仿宋"/>
          <w:spacing w:val="-3"/>
          <w:sz w:val="24"/>
          <w:szCs w:val="24"/>
        </w:rPr>
        <w:t>见》（鄂办发〔2020〕11</w:t>
      </w:r>
      <w:r>
        <w:rPr>
          <w:rFonts w:hint="eastAsia" w:ascii="仿宋" w:hAnsi="仿宋" w:eastAsia="仿宋" w:cs="仿宋"/>
          <w:spacing w:val="-38"/>
          <w:sz w:val="24"/>
          <w:szCs w:val="24"/>
        </w:rPr>
        <w:t xml:space="preserve"> </w:t>
      </w:r>
      <w:r>
        <w:rPr>
          <w:rFonts w:hint="eastAsia" w:ascii="仿宋" w:hAnsi="仿宋" w:eastAsia="仿宋" w:cs="仿宋"/>
          <w:spacing w:val="-3"/>
          <w:sz w:val="24"/>
          <w:szCs w:val="24"/>
        </w:rPr>
        <w:t>号</w:t>
      </w:r>
      <w:r>
        <w:rPr>
          <w:rFonts w:hint="eastAsia" w:ascii="仿宋" w:hAnsi="仿宋" w:eastAsia="仿宋" w:cs="仿宋"/>
          <w:spacing w:val="-12"/>
          <w:sz w:val="24"/>
          <w:szCs w:val="24"/>
        </w:rPr>
        <w:t>）；</w:t>
      </w:r>
    </w:p>
    <w:p w14:paraId="117AD280">
      <w:pPr>
        <w:spacing w:line="360" w:lineRule="auto"/>
        <w:ind w:left="44" w:right="64" w:firstLine="514"/>
        <w:rPr>
          <w:rFonts w:hint="eastAsia" w:ascii="仿宋" w:hAnsi="仿宋" w:eastAsia="仿宋" w:cs="仿宋"/>
          <w:sz w:val="24"/>
          <w:szCs w:val="24"/>
        </w:rPr>
      </w:pPr>
      <w:r>
        <w:rPr>
          <w:rFonts w:hint="eastAsia" w:ascii="仿宋" w:hAnsi="仿宋" w:eastAsia="仿宋" w:cs="仿宋"/>
          <w:spacing w:val="-2"/>
          <w:sz w:val="24"/>
          <w:szCs w:val="24"/>
        </w:rPr>
        <w:t>(7)《省政府办公厅印发关于推动公立医院高质量发展的若干措施的通知》</w:t>
      </w:r>
      <w:r>
        <w:rPr>
          <w:rFonts w:hint="eastAsia" w:ascii="仿宋" w:hAnsi="仿宋" w:eastAsia="仿宋" w:cs="仿宋"/>
          <w:spacing w:val="7"/>
          <w:sz w:val="24"/>
          <w:szCs w:val="24"/>
        </w:rPr>
        <w:t xml:space="preserve"> </w:t>
      </w:r>
      <w:r>
        <w:rPr>
          <w:rFonts w:hint="eastAsia" w:ascii="仿宋" w:hAnsi="仿宋" w:eastAsia="仿宋" w:cs="仿宋"/>
          <w:spacing w:val="-3"/>
          <w:sz w:val="24"/>
          <w:szCs w:val="24"/>
        </w:rPr>
        <w:t>（鄂政办发〔2022〕13</w:t>
      </w:r>
      <w:r>
        <w:rPr>
          <w:rFonts w:hint="eastAsia" w:ascii="仿宋" w:hAnsi="仿宋" w:eastAsia="仿宋" w:cs="仿宋"/>
          <w:spacing w:val="-37"/>
          <w:sz w:val="24"/>
          <w:szCs w:val="24"/>
        </w:rPr>
        <w:t xml:space="preserve"> </w:t>
      </w:r>
      <w:r>
        <w:rPr>
          <w:rFonts w:hint="eastAsia" w:ascii="仿宋" w:hAnsi="仿宋" w:eastAsia="仿宋" w:cs="仿宋"/>
          <w:spacing w:val="-3"/>
          <w:sz w:val="24"/>
          <w:szCs w:val="24"/>
        </w:rPr>
        <w:t>号</w:t>
      </w:r>
      <w:r>
        <w:rPr>
          <w:rFonts w:hint="eastAsia" w:ascii="仿宋" w:hAnsi="仿宋" w:eastAsia="仿宋" w:cs="仿宋"/>
          <w:spacing w:val="-13"/>
          <w:sz w:val="24"/>
          <w:szCs w:val="24"/>
        </w:rPr>
        <w:t>）；</w:t>
      </w:r>
    </w:p>
    <w:p w14:paraId="21206AB5">
      <w:pPr>
        <w:spacing w:before="1" w:line="220" w:lineRule="auto"/>
        <w:ind w:left="522"/>
        <w:rPr>
          <w:rFonts w:hint="eastAsia" w:ascii="仿宋" w:hAnsi="仿宋" w:eastAsia="仿宋" w:cs="仿宋"/>
          <w:sz w:val="24"/>
          <w:szCs w:val="24"/>
        </w:rPr>
      </w:pPr>
      <w:r>
        <w:rPr>
          <w:rFonts w:hint="eastAsia" w:ascii="仿宋" w:hAnsi="仿宋" w:eastAsia="仿宋" w:cs="仿宋"/>
          <w:spacing w:val="-3"/>
          <w:sz w:val="24"/>
          <w:szCs w:val="24"/>
        </w:rPr>
        <w:t>3.1.2.2</w:t>
      </w:r>
      <w:r>
        <w:rPr>
          <w:rFonts w:hint="eastAsia" w:ascii="仿宋" w:hAnsi="仿宋" w:eastAsia="仿宋" w:cs="仿宋"/>
          <w:spacing w:val="-37"/>
          <w:sz w:val="24"/>
          <w:szCs w:val="24"/>
        </w:rPr>
        <w:t xml:space="preserve"> </w:t>
      </w:r>
      <w:r>
        <w:rPr>
          <w:rFonts w:hint="eastAsia" w:ascii="仿宋" w:hAnsi="仿宋" w:eastAsia="仿宋" w:cs="仿宋"/>
          <w:spacing w:val="-3"/>
          <w:sz w:val="24"/>
          <w:szCs w:val="24"/>
        </w:rPr>
        <w:t>行业规范</w:t>
      </w:r>
    </w:p>
    <w:p w14:paraId="0A8CA1C2">
      <w:pPr>
        <w:spacing w:before="181" w:line="222" w:lineRule="auto"/>
        <w:ind w:left="559"/>
        <w:rPr>
          <w:rFonts w:hint="eastAsia" w:ascii="仿宋" w:hAnsi="仿宋" w:eastAsia="仿宋" w:cs="仿宋"/>
          <w:spacing w:val="-4"/>
          <w:sz w:val="24"/>
          <w:szCs w:val="24"/>
        </w:rPr>
      </w:pPr>
      <w:r>
        <w:rPr>
          <w:rFonts w:hint="eastAsia" w:ascii="仿宋" w:hAnsi="仿宋" w:eastAsia="仿宋" w:cs="仿宋"/>
          <w:spacing w:val="-3"/>
          <w:sz w:val="24"/>
          <w:szCs w:val="24"/>
        </w:rPr>
        <w:t>(1)《国家突发公共卫生事件应急指挥中心与决策系统建设需求</w:t>
      </w:r>
      <w:r>
        <w:rPr>
          <w:rFonts w:hint="eastAsia" w:ascii="仿宋" w:hAnsi="仿宋" w:eastAsia="仿宋" w:cs="仿宋"/>
          <w:spacing w:val="-4"/>
          <w:sz w:val="24"/>
          <w:szCs w:val="24"/>
        </w:rPr>
        <w:t>方案》；</w:t>
      </w:r>
    </w:p>
    <w:p w14:paraId="1CDE06A8">
      <w:pPr>
        <w:spacing w:before="181" w:line="222" w:lineRule="auto"/>
        <w:ind w:left="559"/>
        <w:rPr>
          <w:rFonts w:hint="eastAsia" w:ascii="仿宋" w:hAnsi="仿宋" w:eastAsia="仿宋" w:cs="仿宋"/>
          <w:sz w:val="24"/>
          <w:szCs w:val="24"/>
        </w:rPr>
      </w:pPr>
      <w:r>
        <w:rPr>
          <w:rFonts w:hint="eastAsia" w:ascii="仿宋" w:hAnsi="仿宋" w:eastAsia="仿宋" w:cs="仿宋"/>
          <w:spacing w:val="-4"/>
          <w:sz w:val="24"/>
          <w:szCs w:val="24"/>
        </w:rPr>
        <w:t>(2)《院前医疗急救管理办法》（国家卫生和计划生育委员会</w:t>
      </w:r>
      <w:r>
        <w:rPr>
          <w:rFonts w:hint="eastAsia" w:ascii="仿宋" w:hAnsi="仿宋" w:eastAsia="仿宋" w:cs="仿宋"/>
          <w:spacing w:val="-5"/>
          <w:sz w:val="24"/>
          <w:szCs w:val="24"/>
        </w:rPr>
        <w:t>令第 3</w:t>
      </w:r>
      <w:r>
        <w:rPr>
          <w:rFonts w:hint="eastAsia" w:ascii="仿宋" w:hAnsi="仿宋" w:eastAsia="仿宋" w:cs="仿宋"/>
          <w:spacing w:val="-39"/>
          <w:sz w:val="24"/>
          <w:szCs w:val="24"/>
        </w:rPr>
        <w:t xml:space="preserve"> </w:t>
      </w:r>
      <w:r>
        <w:rPr>
          <w:rFonts w:hint="eastAsia" w:ascii="仿宋" w:hAnsi="仿宋" w:eastAsia="仿宋" w:cs="仿宋"/>
          <w:spacing w:val="-5"/>
          <w:sz w:val="24"/>
          <w:szCs w:val="24"/>
        </w:rPr>
        <w:t>号</w:t>
      </w:r>
      <w:r>
        <w:rPr>
          <w:rFonts w:hint="eastAsia" w:ascii="仿宋" w:hAnsi="仿宋" w:eastAsia="仿宋" w:cs="仿宋"/>
          <w:spacing w:val="-12"/>
          <w:sz w:val="24"/>
          <w:szCs w:val="24"/>
        </w:rPr>
        <w:t>）；</w:t>
      </w:r>
    </w:p>
    <w:p w14:paraId="4BB03BEB">
      <w:pPr>
        <w:spacing w:before="180" w:line="222" w:lineRule="auto"/>
        <w:ind w:left="559"/>
        <w:rPr>
          <w:rFonts w:hint="eastAsia" w:ascii="仿宋" w:hAnsi="仿宋" w:eastAsia="仿宋" w:cs="仿宋"/>
          <w:sz w:val="24"/>
          <w:szCs w:val="24"/>
        </w:rPr>
      </w:pPr>
      <w:r>
        <w:rPr>
          <w:rFonts w:hint="eastAsia" w:ascii="仿宋" w:hAnsi="仿宋" w:eastAsia="仿宋" w:cs="仿宋"/>
          <w:spacing w:val="-3"/>
          <w:sz w:val="24"/>
          <w:szCs w:val="24"/>
        </w:rPr>
        <w:t>(3)《地级市突发公共卫生事件应急指挥与决策系统建</w:t>
      </w:r>
      <w:r>
        <w:rPr>
          <w:rFonts w:hint="eastAsia" w:ascii="仿宋" w:hAnsi="仿宋" w:eastAsia="仿宋" w:cs="仿宋"/>
          <w:spacing w:val="-4"/>
          <w:sz w:val="24"/>
          <w:szCs w:val="24"/>
        </w:rPr>
        <w:t>设技术指南》；</w:t>
      </w:r>
    </w:p>
    <w:p w14:paraId="6458607F">
      <w:pPr>
        <w:spacing w:before="178" w:line="222" w:lineRule="auto"/>
        <w:ind w:left="559"/>
        <w:rPr>
          <w:rFonts w:hint="eastAsia" w:ascii="仿宋" w:hAnsi="仿宋" w:eastAsia="仿宋" w:cs="仿宋"/>
          <w:sz w:val="24"/>
          <w:szCs w:val="24"/>
        </w:rPr>
      </w:pPr>
      <w:r>
        <w:rPr>
          <w:rFonts w:hint="eastAsia" w:ascii="仿宋" w:hAnsi="仿宋" w:eastAsia="仿宋" w:cs="仿宋"/>
          <w:spacing w:val="-2"/>
          <w:sz w:val="24"/>
          <w:szCs w:val="24"/>
        </w:rPr>
        <w:t>(4)《院前医疗急救基本数据集》（WS542-2017</w:t>
      </w:r>
      <w:r>
        <w:rPr>
          <w:rFonts w:hint="eastAsia" w:ascii="仿宋" w:hAnsi="仿宋" w:eastAsia="仿宋" w:cs="仿宋"/>
          <w:spacing w:val="-12"/>
          <w:sz w:val="24"/>
          <w:szCs w:val="24"/>
        </w:rPr>
        <w:t>）；</w:t>
      </w:r>
    </w:p>
    <w:p w14:paraId="1127608D">
      <w:pPr>
        <w:spacing w:before="180" w:line="222" w:lineRule="auto"/>
        <w:ind w:left="559"/>
        <w:rPr>
          <w:rFonts w:hint="eastAsia" w:ascii="仿宋" w:hAnsi="仿宋" w:eastAsia="仿宋" w:cs="仿宋"/>
          <w:sz w:val="24"/>
          <w:szCs w:val="24"/>
        </w:rPr>
      </w:pPr>
      <w:r>
        <w:rPr>
          <w:rFonts w:hint="eastAsia" w:ascii="仿宋" w:hAnsi="仿宋" w:eastAsia="仿宋" w:cs="仿宋"/>
          <w:spacing w:val="-5"/>
          <w:sz w:val="24"/>
          <w:szCs w:val="24"/>
        </w:rPr>
        <w:t>(5)《急救中心建设标准》（建标 177-2016</w:t>
      </w:r>
      <w:r>
        <w:rPr>
          <w:rFonts w:hint="eastAsia" w:ascii="仿宋" w:hAnsi="仿宋" w:eastAsia="仿宋" w:cs="仿宋"/>
          <w:spacing w:val="-7"/>
          <w:sz w:val="24"/>
          <w:szCs w:val="24"/>
        </w:rPr>
        <w:t>）；</w:t>
      </w:r>
    </w:p>
    <w:p w14:paraId="452A1436">
      <w:pPr>
        <w:spacing w:before="178" w:line="222" w:lineRule="auto"/>
        <w:ind w:left="559"/>
        <w:rPr>
          <w:rFonts w:hint="eastAsia" w:ascii="仿宋" w:hAnsi="仿宋" w:eastAsia="仿宋" w:cs="仿宋"/>
          <w:sz w:val="24"/>
          <w:szCs w:val="24"/>
        </w:rPr>
      </w:pPr>
      <w:r>
        <w:rPr>
          <w:rFonts w:hint="eastAsia" w:ascii="仿宋" w:hAnsi="仿宋" w:eastAsia="仿宋" w:cs="仿宋"/>
          <w:spacing w:val="-3"/>
          <w:sz w:val="24"/>
          <w:szCs w:val="24"/>
        </w:rPr>
        <w:t>(6)《湖北省院前医疗急救质量控制与评价标准》（2014</w:t>
      </w:r>
      <w:r>
        <w:rPr>
          <w:rFonts w:hint="eastAsia" w:ascii="仿宋" w:hAnsi="仿宋" w:eastAsia="仿宋" w:cs="仿宋"/>
          <w:spacing w:val="-48"/>
          <w:sz w:val="24"/>
          <w:szCs w:val="24"/>
        </w:rPr>
        <w:t xml:space="preserve"> </w:t>
      </w:r>
      <w:r>
        <w:rPr>
          <w:rFonts w:hint="eastAsia" w:ascii="仿宋" w:hAnsi="仿宋" w:eastAsia="仿宋" w:cs="仿宋"/>
          <w:spacing w:val="-3"/>
          <w:sz w:val="24"/>
          <w:szCs w:val="24"/>
        </w:rPr>
        <w:t>版</w:t>
      </w:r>
      <w:r>
        <w:rPr>
          <w:rFonts w:hint="eastAsia" w:ascii="仿宋" w:hAnsi="仿宋" w:eastAsia="仿宋" w:cs="仿宋"/>
          <w:spacing w:val="-4"/>
          <w:sz w:val="24"/>
          <w:szCs w:val="24"/>
        </w:rPr>
        <w:t>）；</w:t>
      </w:r>
    </w:p>
    <w:p w14:paraId="63BDEA4E">
      <w:pPr>
        <w:spacing w:before="179" w:line="221" w:lineRule="auto"/>
        <w:ind w:left="559"/>
        <w:rPr>
          <w:rFonts w:hint="eastAsia" w:ascii="仿宋" w:hAnsi="仿宋" w:eastAsia="仿宋" w:cs="仿宋"/>
          <w:sz w:val="24"/>
          <w:szCs w:val="24"/>
        </w:rPr>
      </w:pPr>
      <w:r>
        <w:rPr>
          <w:rFonts w:hint="eastAsia" w:ascii="仿宋" w:hAnsi="仿宋" w:eastAsia="仿宋" w:cs="仿宋"/>
          <w:spacing w:val="-5"/>
          <w:sz w:val="24"/>
          <w:szCs w:val="24"/>
        </w:rPr>
        <w:t>(7)《湖北省院前急救管理办法（试行）》；</w:t>
      </w:r>
    </w:p>
    <w:p w14:paraId="706F7ED3">
      <w:pPr>
        <w:spacing w:before="182" w:line="222" w:lineRule="auto"/>
        <w:ind w:left="559"/>
        <w:rPr>
          <w:rFonts w:hint="eastAsia" w:ascii="仿宋" w:hAnsi="仿宋" w:eastAsia="仿宋" w:cs="仿宋"/>
          <w:sz w:val="24"/>
          <w:szCs w:val="24"/>
        </w:rPr>
      </w:pPr>
      <w:r>
        <w:rPr>
          <w:rFonts w:hint="eastAsia" w:ascii="仿宋" w:hAnsi="仿宋" w:eastAsia="仿宋" w:cs="仿宋"/>
          <w:spacing w:val="-4"/>
          <w:sz w:val="24"/>
          <w:szCs w:val="24"/>
        </w:rPr>
        <w:t>(8)《国家基本公共卫生服务规范（201</w:t>
      </w:r>
      <w:r>
        <w:rPr>
          <w:rFonts w:hint="eastAsia" w:ascii="仿宋" w:hAnsi="仿宋" w:eastAsia="仿宋" w:cs="仿宋"/>
          <w:spacing w:val="-5"/>
          <w:sz w:val="24"/>
          <w:szCs w:val="24"/>
        </w:rPr>
        <w:t>3</w:t>
      </w:r>
      <w:r>
        <w:rPr>
          <w:rFonts w:hint="eastAsia" w:ascii="仿宋" w:hAnsi="仿宋" w:eastAsia="仿宋" w:cs="仿宋"/>
          <w:spacing w:val="-40"/>
          <w:sz w:val="24"/>
          <w:szCs w:val="24"/>
        </w:rPr>
        <w:t xml:space="preserve"> </w:t>
      </w:r>
      <w:r>
        <w:rPr>
          <w:rFonts w:hint="eastAsia" w:ascii="仿宋" w:hAnsi="仿宋" w:eastAsia="仿宋" w:cs="仿宋"/>
          <w:spacing w:val="-5"/>
          <w:sz w:val="24"/>
          <w:szCs w:val="24"/>
        </w:rPr>
        <w:t>年版）》；</w:t>
      </w:r>
    </w:p>
    <w:p w14:paraId="32FC26B8">
      <w:pPr>
        <w:spacing w:before="179" w:line="222" w:lineRule="auto"/>
        <w:ind w:left="559"/>
        <w:rPr>
          <w:rFonts w:hint="eastAsia" w:ascii="仿宋" w:hAnsi="仿宋" w:eastAsia="仿宋" w:cs="仿宋"/>
          <w:sz w:val="24"/>
          <w:szCs w:val="24"/>
        </w:rPr>
      </w:pPr>
      <w:r>
        <w:rPr>
          <w:rFonts w:hint="eastAsia" w:ascii="仿宋" w:hAnsi="仿宋" w:eastAsia="仿宋" w:cs="仿宋"/>
          <w:spacing w:val="-5"/>
          <w:sz w:val="24"/>
          <w:szCs w:val="24"/>
        </w:rPr>
        <w:t>(9)《城乡居民健康档案管理服务规范》；</w:t>
      </w:r>
    </w:p>
    <w:p w14:paraId="00D49AB4">
      <w:pPr>
        <w:spacing w:before="179" w:line="221" w:lineRule="auto"/>
        <w:ind w:left="559"/>
        <w:rPr>
          <w:rFonts w:hint="eastAsia" w:ascii="仿宋" w:hAnsi="仿宋" w:eastAsia="仿宋" w:cs="仿宋"/>
          <w:sz w:val="24"/>
          <w:szCs w:val="24"/>
        </w:rPr>
      </w:pPr>
      <w:r>
        <w:rPr>
          <w:rFonts w:hint="eastAsia" w:ascii="仿宋" w:hAnsi="仿宋" w:eastAsia="仿宋" w:cs="仿宋"/>
          <w:spacing w:val="-5"/>
          <w:sz w:val="24"/>
          <w:szCs w:val="24"/>
        </w:rPr>
        <w:t>(10)《健康档案基本架构与数据标准（试行）》；</w:t>
      </w:r>
    </w:p>
    <w:p w14:paraId="39DFBBDC">
      <w:pPr>
        <w:spacing w:before="181" w:line="221" w:lineRule="auto"/>
        <w:ind w:left="559"/>
        <w:rPr>
          <w:rFonts w:hint="eastAsia" w:ascii="仿宋" w:hAnsi="仿宋" w:eastAsia="仿宋" w:cs="仿宋"/>
          <w:sz w:val="24"/>
          <w:szCs w:val="24"/>
        </w:rPr>
      </w:pPr>
      <w:r>
        <w:rPr>
          <w:rFonts w:hint="eastAsia" w:ascii="仿宋" w:hAnsi="仿宋" w:eastAsia="仿宋" w:cs="仿宋"/>
          <w:spacing w:val="-5"/>
          <w:sz w:val="24"/>
          <w:szCs w:val="24"/>
        </w:rPr>
        <w:t>(11)《电子病历基本架构与数据标准（试行）》；</w:t>
      </w:r>
    </w:p>
    <w:p w14:paraId="73C93683">
      <w:pPr>
        <w:spacing w:before="180" w:line="221" w:lineRule="auto"/>
        <w:ind w:left="559"/>
        <w:rPr>
          <w:rFonts w:hint="eastAsia" w:ascii="仿宋" w:hAnsi="仿宋" w:eastAsia="仿宋" w:cs="仿宋"/>
          <w:sz w:val="24"/>
          <w:szCs w:val="24"/>
        </w:rPr>
      </w:pPr>
      <w:r>
        <w:rPr>
          <w:rFonts w:hint="eastAsia" w:ascii="仿宋" w:hAnsi="仿宋" w:eastAsia="仿宋" w:cs="仿宋"/>
          <w:spacing w:val="-4"/>
          <w:sz w:val="24"/>
          <w:szCs w:val="24"/>
        </w:rPr>
        <w:t>(12)《基于健康档案的区域卫生信息平台建设指南（试行）》；</w:t>
      </w:r>
    </w:p>
    <w:p w14:paraId="76C2F8E2">
      <w:pPr>
        <w:spacing w:before="181" w:line="221" w:lineRule="auto"/>
        <w:ind w:left="559"/>
        <w:rPr>
          <w:rFonts w:hint="eastAsia" w:ascii="仿宋" w:hAnsi="仿宋" w:eastAsia="仿宋" w:cs="仿宋"/>
          <w:sz w:val="24"/>
          <w:szCs w:val="24"/>
        </w:rPr>
      </w:pPr>
      <w:r>
        <w:rPr>
          <w:rFonts w:hint="eastAsia" w:ascii="仿宋" w:hAnsi="仿宋" w:eastAsia="仿宋" w:cs="仿宋"/>
          <w:spacing w:val="-3"/>
          <w:sz w:val="24"/>
          <w:szCs w:val="24"/>
        </w:rPr>
        <w:t>(13)《基于健康档案的区域卫生信息平台建设技术解决方案（试行）》；</w:t>
      </w:r>
    </w:p>
    <w:p w14:paraId="7761A7B9">
      <w:pPr>
        <w:spacing w:before="181" w:line="221" w:lineRule="auto"/>
        <w:ind w:left="559"/>
        <w:rPr>
          <w:rFonts w:hint="eastAsia" w:ascii="仿宋" w:hAnsi="仿宋" w:eastAsia="仿宋" w:cs="仿宋"/>
          <w:sz w:val="24"/>
          <w:szCs w:val="24"/>
        </w:rPr>
      </w:pPr>
      <w:r>
        <w:rPr>
          <w:rFonts w:hint="eastAsia" w:ascii="仿宋" w:hAnsi="仿宋" w:eastAsia="仿宋" w:cs="仿宋"/>
          <w:spacing w:val="-4"/>
          <w:sz w:val="24"/>
          <w:szCs w:val="24"/>
        </w:rPr>
        <w:t>(14)《公共卫生信息分类框架和基本数据集标准》。</w:t>
      </w:r>
    </w:p>
    <w:p w14:paraId="5C76E787">
      <w:pPr>
        <w:spacing w:before="181" w:line="222" w:lineRule="auto"/>
        <w:ind w:left="522"/>
        <w:rPr>
          <w:rFonts w:hint="eastAsia" w:ascii="仿宋" w:hAnsi="仿宋" w:eastAsia="仿宋" w:cs="仿宋"/>
          <w:sz w:val="24"/>
          <w:szCs w:val="24"/>
        </w:rPr>
      </w:pPr>
      <w:r>
        <w:rPr>
          <w:rFonts w:hint="eastAsia" w:ascii="仿宋" w:hAnsi="仿宋" w:eastAsia="仿宋" w:cs="仿宋"/>
          <w:spacing w:val="-3"/>
          <w:sz w:val="24"/>
          <w:szCs w:val="24"/>
        </w:rPr>
        <w:t>3.1.2.3</w:t>
      </w:r>
      <w:r>
        <w:rPr>
          <w:rFonts w:hint="eastAsia" w:ascii="仿宋" w:hAnsi="仿宋" w:eastAsia="仿宋" w:cs="仿宋"/>
          <w:spacing w:val="-37"/>
          <w:sz w:val="24"/>
          <w:szCs w:val="24"/>
        </w:rPr>
        <w:t xml:space="preserve"> </w:t>
      </w:r>
      <w:r>
        <w:rPr>
          <w:rFonts w:hint="eastAsia" w:ascii="仿宋" w:hAnsi="仿宋" w:eastAsia="仿宋" w:cs="仿宋"/>
          <w:spacing w:val="-3"/>
          <w:sz w:val="24"/>
          <w:szCs w:val="24"/>
        </w:rPr>
        <w:t>技术标准</w:t>
      </w:r>
    </w:p>
    <w:p w14:paraId="2D91D9F8">
      <w:pPr>
        <w:spacing w:before="179" w:line="221" w:lineRule="auto"/>
        <w:ind w:left="559"/>
        <w:rPr>
          <w:rFonts w:hint="eastAsia" w:ascii="仿宋" w:hAnsi="仿宋" w:eastAsia="仿宋" w:cs="仿宋"/>
          <w:sz w:val="24"/>
          <w:szCs w:val="24"/>
        </w:rPr>
      </w:pPr>
      <w:r>
        <w:rPr>
          <w:rFonts w:hint="eastAsia" w:ascii="仿宋" w:hAnsi="仿宋" w:eastAsia="仿宋" w:cs="仿宋"/>
          <w:spacing w:val="-3"/>
          <w:sz w:val="24"/>
          <w:szCs w:val="24"/>
        </w:rPr>
        <w:t>(1)《国家电子政务总体框架》（国信﹝2006﹞2</w:t>
      </w:r>
      <w:r>
        <w:rPr>
          <w:rFonts w:hint="eastAsia" w:ascii="仿宋" w:hAnsi="仿宋" w:eastAsia="仿宋" w:cs="仿宋"/>
          <w:spacing w:val="-38"/>
          <w:sz w:val="24"/>
          <w:szCs w:val="24"/>
        </w:rPr>
        <w:t xml:space="preserve"> </w:t>
      </w:r>
      <w:r>
        <w:rPr>
          <w:rFonts w:hint="eastAsia" w:ascii="仿宋" w:hAnsi="仿宋" w:eastAsia="仿宋" w:cs="仿宋"/>
          <w:spacing w:val="-3"/>
          <w:sz w:val="24"/>
          <w:szCs w:val="24"/>
        </w:rPr>
        <w:t>号</w:t>
      </w:r>
      <w:r>
        <w:rPr>
          <w:rFonts w:hint="eastAsia" w:ascii="仿宋" w:hAnsi="仿宋" w:eastAsia="仿宋" w:cs="仿宋"/>
          <w:spacing w:val="-12"/>
          <w:sz w:val="24"/>
          <w:szCs w:val="24"/>
        </w:rPr>
        <w:t>）；</w:t>
      </w:r>
    </w:p>
    <w:p w14:paraId="2FABC91F">
      <w:pPr>
        <w:spacing w:before="180" w:line="222" w:lineRule="auto"/>
        <w:ind w:left="559"/>
        <w:rPr>
          <w:rFonts w:hint="eastAsia" w:ascii="仿宋" w:hAnsi="仿宋" w:eastAsia="仿宋" w:cs="仿宋"/>
          <w:sz w:val="24"/>
          <w:szCs w:val="24"/>
        </w:rPr>
      </w:pPr>
      <w:r>
        <w:rPr>
          <w:rFonts w:hint="eastAsia" w:ascii="仿宋" w:hAnsi="仿宋" w:eastAsia="仿宋" w:cs="仿宋"/>
          <w:spacing w:val="-2"/>
          <w:sz w:val="24"/>
          <w:szCs w:val="24"/>
        </w:rPr>
        <w:t>(2)《信息技术软件工程术语》（GB/T11457-2006</w:t>
      </w:r>
      <w:r>
        <w:rPr>
          <w:rFonts w:hint="eastAsia" w:ascii="仿宋" w:hAnsi="仿宋" w:eastAsia="仿宋" w:cs="仿宋"/>
          <w:spacing w:val="-9"/>
          <w:sz w:val="24"/>
          <w:szCs w:val="24"/>
        </w:rPr>
        <w:t>）；</w:t>
      </w:r>
    </w:p>
    <w:p w14:paraId="735DD060">
      <w:pPr>
        <w:spacing w:before="180" w:line="222" w:lineRule="auto"/>
        <w:ind w:left="559"/>
        <w:rPr>
          <w:rFonts w:hint="eastAsia" w:ascii="仿宋" w:hAnsi="仿宋" w:eastAsia="仿宋" w:cs="仿宋"/>
          <w:sz w:val="24"/>
          <w:szCs w:val="24"/>
        </w:rPr>
      </w:pPr>
      <w:r>
        <w:rPr>
          <w:rFonts w:hint="eastAsia" w:ascii="仿宋" w:hAnsi="仿宋" w:eastAsia="仿宋" w:cs="仿宋"/>
          <w:spacing w:val="-2"/>
          <w:sz w:val="24"/>
          <w:szCs w:val="24"/>
        </w:rPr>
        <w:t>(3)《信息技术软件维护》（GB/T20157-2006</w:t>
      </w:r>
      <w:r>
        <w:rPr>
          <w:rFonts w:hint="eastAsia" w:ascii="仿宋" w:hAnsi="仿宋" w:eastAsia="仿宋" w:cs="仿宋"/>
          <w:spacing w:val="-11"/>
          <w:sz w:val="24"/>
          <w:szCs w:val="24"/>
        </w:rPr>
        <w:t>）；</w:t>
      </w:r>
    </w:p>
    <w:p w14:paraId="144A3FBD">
      <w:pPr>
        <w:spacing w:before="180" w:line="219" w:lineRule="auto"/>
        <w:ind w:left="559"/>
        <w:rPr>
          <w:rFonts w:hint="eastAsia" w:ascii="仿宋" w:hAnsi="仿宋" w:eastAsia="仿宋" w:cs="仿宋"/>
          <w:sz w:val="24"/>
          <w:szCs w:val="24"/>
        </w:rPr>
      </w:pPr>
      <w:r>
        <w:rPr>
          <w:rFonts w:hint="eastAsia" w:ascii="仿宋" w:hAnsi="仿宋" w:eastAsia="仿宋" w:cs="仿宋"/>
          <w:spacing w:val="-1"/>
          <w:sz w:val="24"/>
          <w:szCs w:val="24"/>
        </w:rPr>
        <w:t>(4)《信息技术软件生存周期过程配置管理</w:t>
      </w:r>
      <w:r>
        <w:rPr>
          <w:rFonts w:hint="eastAsia" w:ascii="仿宋" w:hAnsi="仿宋" w:eastAsia="仿宋" w:cs="仿宋"/>
          <w:spacing w:val="-2"/>
          <w:sz w:val="24"/>
          <w:szCs w:val="24"/>
        </w:rPr>
        <w:t>》（GB/T20158-2006</w:t>
      </w:r>
      <w:r>
        <w:rPr>
          <w:rFonts w:hint="eastAsia" w:ascii="仿宋" w:hAnsi="仿宋" w:eastAsia="仿宋" w:cs="仿宋"/>
          <w:spacing w:val="-13"/>
          <w:sz w:val="24"/>
          <w:szCs w:val="24"/>
        </w:rPr>
        <w:t>）；</w:t>
      </w:r>
    </w:p>
    <w:p w14:paraId="28026671">
      <w:pPr>
        <w:spacing w:before="183" w:line="360" w:lineRule="auto"/>
        <w:ind w:left="40" w:right="535" w:firstLine="519"/>
        <w:rPr>
          <w:rFonts w:hint="eastAsia" w:ascii="仿宋" w:hAnsi="仿宋" w:eastAsia="仿宋" w:cs="仿宋"/>
          <w:sz w:val="24"/>
          <w:szCs w:val="24"/>
        </w:rPr>
      </w:pPr>
      <w:r>
        <w:rPr>
          <w:rFonts w:hint="eastAsia" w:ascii="仿宋" w:hAnsi="仿宋" w:eastAsia="仿宋" w:cs="仿宋"/>
          <w:spacing w:val="-1"/>
          <w:sz w:val="24"/>
          <w:szCs w:val="24"/>
        </w:rPr>
        <w:t>(5)《软件工程软件生存周期过程用于项目管理</w:t>
      </w:r>
      <w:r>
        <w:rPr>
          <w:rFonts w:hint="eastAsia" w:ascii="仿宋" w:hAnsi="仿宋" w:eastAsia="仿宋" w:cs="仿宋"/>
          <w:spacing w:val="-2"/>
          <w:sz w:val="24"/>
          <w:szCs w:val="24"/>
        </w:rPr>
        <w:t>的指南》（GB/Z20156-</w:t>
      </w:r>
      <w:r>
        <w:rPr>
          <w:rFonts w:hint="eastAsia" w:ascii="仿宋" w:hAnsi="仿宋" w:eastAsia="仿宋" w:cs="仿宋"/>
          <w:sz w:val="24"/>
          <w:szCs w:val="24"/>
        </w:rPr>
        <w:t xml:space="preserve"> </w:t>
      </w:r>
      <w:r>
        <w:rPr>
          <w:rFonts w:hint="eastAsia" w:ascii="仿宋" w:hAnsi="仿宋" w:eastAsia="仿宋" w:cs="仿宋"/>
          <w:spacing w:val="-3"/>
          <w:sz w:val="24"/>
          <w:szCs w:val="24"/>
        </w:rPr>
        <w:t>2006</w:t>
      </w:r>
      <w:r>
        <w:rPr>
          <w:rFonts w:hint="eastAsia" w:ascii="仿宋" w:hAnsi="仿宋" w:eastAsia="仿宋" w:cs="仿宋"/>
          <w:spacing w:val="-14"/>
          <w:sz w:val="24"/>
          <w:szCs w:val="24"/>
        </w:rPr>
        <w:t>）；</w:t>
      </w:r>
    </w:p>
    <w:p w14:paraId="56691FFB">
      <w:pPr>
        <w:spacing w:before="1" w:line="219" w:lineRule="auto"/>
        <w:ind w:left="559"/>
        <w:rPr>
          <w:rFonts w:hint="eastAsia" w:ascii="仿宋" w:hAnsi="仿宋" w:eastAsia="仿宋" w:cs="仿宋"/>
          <w:sz w:val="24"/>
          <w:szCs w:val="24"/>
        </w:rPr>
      </w:pPr>
      <w:r>
        <w:rPr>
          <w:rFonts w:hint="eastAsia" w:ascii="仿宋" w:hAnsi="仿宋" w:eastAsia="仿宋" w:cs="仿宋"/>
          <w:spacing w:val="-2"/>
          <w:sz w:val="24"/>
          <w:szCs w:val="24"/>
        </w:rPr>
        <w:t>(6)《信息技术软件生存周期过程》（GB/T8566-2007</w:t>
      </w:r>
      <w:r>
        <w:rPr>
          <w:rFonts w:hint="eastAsia" w:ascii="仿宋" w:hAnsi="仿宋" w:eastAsia="仿宋" w:cs="仿宋"/>
          <w:spacing w:val="-8"/>
          <w:sz w:val="24"/>
          <w:szCs w:val="24"/>
        </w:rPr>
        <w:t>）；</w:t>
      </w:r>
    </w:p>
    <w:p w14:paraId="0DCE5197">
      <w:pPr>
        <w:spacing w:before="183" w:line="222" w:lineRule="auto"/>
        <w:ind w:left="559"/>
        <w:rPr>
          <w:rFonts w:hint="eastAsia" w:ascii="仿宋" w:hAnsi="仿宋" w:eastAsia="仿宋" w:cs="仿宋"/>
          <w:sz w:val="24"/>
          <w:szCs w:val="24"/>
        </w:rPr>
      </w:pPr>
      <w:r>
        <w:rPr>
          <w:rFonts w:hint="eastAsia" w:ascii="仿宋" w:hAnsi="仿宋" w:eastAsia="仿宋" w:cs="仿宋"/>
          <w:spacing w:val="-2"/>
          <w:sz w:val="24"/>
          <w:szCs w:val="24"/>
        </w:rPr>
        <w:t>(7)《电子政务系统总体设计要求》（GB/T21064-2007</w:t>
      </w:r>
      <w:r>
        <w:rPr>
          <w:rFonts w:hint="eastAsia" w:ascii="仿宋" w:hAnsi="仿宋" w:eastAsia="仿宋" w:cs="仿宋"/>
          <w:spacing w:val="-7"/>
          <w:sz w:val="24"/>
          <w:szCs w:val="24"/>
        </w:rPr>
        <w:t>）；</w:t>
      </w:r>
    </w:p>
    <w:p w14:paraId="7A376B38">
      <w:pPr>
        <w:spacing w:before="179" w:line="221" w:lineRule="auto"/>
        <w:ind w:left="559"/>
        <w:rPr>
          <w:rFonts w:hint="eastAsia" w:ascii="仿宋" w:hAnsi="仿宋" w:eastAsia="仿宋" w:cs="仿宋"/>
          <w:sz w:val="24"/>
          <w:szCs w:val="24"/>
        </w:rPr>
      </w:pPr>
      <w:r>
        <w:rPr>
          <w:rFonts w:hint="eastAsia" w:ascii="仿宋" w:hAnsi="仿宋" w:eastAsia="仿宋" w:cs="仿宋"/>
          <w:spacing w:val="-1"/>
          <w:sz w:val="24"/>
          <w:szCs w:val="24"/>
        </w:rPr>
        <w:t>(8)《国家电子政务网络技术和运行管理规范》</w:t>
      </w:r>
      <w:r>
        <w:rPr>
          <w:rFonts w:hint="eastAsia" w:ascii="仿宋" w:hAnsi="仿宋" w:eastAsia="仿宋" w:cs="仿宋"/>
          <w:spacing w:val="-2"/>
          <w:sz w:val="24"/>
          <w:szCs w:val="24"/>
        </w:rPr>
        <w:t>（GB/T21061-2007</w:t>
      </w:r>
      <w:r>
        <w:rPr>
          <w:rFonts w:hint="eastAsia" w:ascii="仿宋" w:hAnsi="仿宋" w:eastAsia="仿宋" w:cs="仿宋"/>
          <w:spacing w:val="-13"/>
          <w:sz w:val="24"/>
          <w:szCs w:val="24"/>
        </w:rPr>
        <w:t>）；</w:t>
      </w:r>
    </w:p>
    <w:p w14:paraId="0B96102E">
      <w:pPr>
        <w:spacing w:before="181" w:line="222" w:lineRule="auto"/>
        <w:ind w:left="559"/>
        <w:rPr>
          <w:rFonts w:hint="eastAsia" w:ascii="仿宋" w:hAnsi="仿宋" w:eastAsia="仿宋" w:cs="仿宋"/>
          <w:sz w:val="24"/>
          <w:szCs w:val="24"/>
        </w:rPr>
      </w:pPr>
      <w:r>
        <w:rPr>
          <w:rFonts w:hint="eastAsia" w:ascii="仿宋" w:hAnsi="仿宋" w:eastAsia="仿宋" w:cs="仿宋"/>
          <w:spacing w:val="-3"/>
          <w:sz w:val="24"/>
          <w:szCs w:val="24"/>
        </w:rPr>
        <w:t>(9)《电子政务标准化指南第 1</w:t>
      </w:r>
      <w:r>
        <w:rPr>
          <w:rFonts w:hint="eastAsia" w:ascii="仿宋" w:hAnsi="仿宋" w:eastAsia="仿宋" w:cs="仿宋"/>
          <w:spacing w:val="-43"/>
          <w:sz w:val="24"/>
          <w:szCs w:val="24"/>
        </w:rPr>
        <w:t xml:space="preserve"> </w:t>
      </w:r>
      <w:r>
        <w:rPr>
          <w:rFonts w:hint="eastAsia" w:ascii="仿宋" w:hAnsi="仿宋" w:eastAsia="仿宋" w:cs="仿宋"/>
          <w:spacing w:val="-3"/>
          <w:sz w:val="24"/>
          <w:szCs w:val="24"/>
        </w:rPr>
        <w:t>部分：总则》（GB/T</w:t>
      </w:r>
      <w:r>
        <w:rPr>
          <w:rFonts w:hint="eastAsia" w:ascii="仿宋" w:hAnsi="仿宋" w:eastAsia="仿宋" w:cs="仿宋"/>
          <w:spacing w:val="-4"/>
          <w:sz w:val="24"/>
          <w:szCs w:val="24"/>
        </w:rPr>
        <w:t>30850.1-2014</w:t>
      </w:r>
      <w:r>
        <w:rPr>
          <w:rFonts w:hint="eastAsia" w:ascii="仿宋" w:hAnsi="仿宋" w:eastAsia="仿宋" w:cs="仿宋"/>
          <w:spacing w:val="-13"/>
          <w:sz w:val="24"/>
          <w:szCs w:val="24"/>
        </w:rPr>
        <w:t>）；</w:t>
      </w:r>
    </w:p>
    <w:p w14:paraId="5F30E621">
      <w:pPr>
        <w:spacing w:before="179" w:line="360" w:lineRule="auto"/>
        <w:ind w:left="40" w:right="895" w:firstLine="519"/>
        <w:rPr>
          <w:rFonts w:hint="eastAsia" w:ascii="仿宋" w:hAnsi="仿宋" w:eastAsia="仿宋" w:cs="仿宋"/>
          <w:sz w:val="24"/>
          <w:szCs w:val="24"/>
        </w:rPr>
      </w:pPr>
      <w:r>
        <w:rPr>
          <w:rFonts w:hint="eastAsia" w:ascii="仿宋" w:hAnsi="仿宋" w:eastAsia="仿宋" w:cs="仿宋"/>
          <w:spacing w:val="-3"/>
          <w:sz w:val="24"/>
          <w:szCs w:val="24"/>
        </w:rPr>
        <w:t>(10)《电子政务标准化指南第</w:t>
      </w:r>
      <w:r>
        <w:rPr>
          <w:rFonts w:hint="eastAsia" w:ascii="仿宋" w:hAnsi="仿宋" w:eastAsia="仿宋" w:cs="仿宋"/>
          <w:spacing w:val="-18"/>
          <w:sz w:val="24"/>
          <w:szCs w:val="24"/>
        </w:rPr>
        <w:t xml:space="preserve"> </w:t>
      </w:r>
      <w:r>
        <w:rPr>
          <w:rFonts w:hint="eastAsia" w:ascii="仿宋" w:hAnsi="仿宋" w:eastAsia="仿宋" w:cs="仿宋"/>
          <w:spacing w:val="-3"/>
          <w:sz w:val="24"/>
          <w:szCs w:val="24"/>
        </w:rPr>
        <w:t>2</w:t>
      </w:r>
      <w:r>
        <w:rPr>
          <w:rFonts w:hint="eastAsia" w:ascii="仿宋" w:hAnsi="仿宋" w:eastAsia="仿宋" w:cs="仿宋"/>
          <w:spacing w:val="-43"/>
          <w:sz w:val="24"/>
          <w:szCs w:val="24"/>
        </w:rPr>
        <w:t xml:space="preserve"> </w:t>
      </w:r>
      <w:r>
        <w:rPr>
          <w:rFonts w:hint="eastAsia" w:ascii="仿宋" w:hAnsi="仿宋" w:eastAsia="仿宋" w:cs="仿宋"/>
          <w:spacing w:val="-3"/>
          <w:sz w:val="24"/>
          <w:szCs w:val="24"/>
        </w:rPr>
        <w:t>部分：工程管理》（GB/T30850.2-</w:t>
      </w:r>
      <w:r>
        <w:rPr>
          <w:rFonts w:hint="eastAsia" w:ascii="仿宋" w:hAnsi="仿宋" w:eastAsia="仿宋" w:cs="仿宋"/>
          <w:sz w:val="24"/>
          <w:szCs w:val="24"/>
        </w:rPr>
        <w:t xml:space="preserve"> </w:t>
      </w:r>
      <w:r>
        <w:rPr>
          <w:rFonts w:hint="eastAsia" w:ascii="仿宋" w:hAnsi="仿宋" w:eastAsia="仿宋" w:cs="仿宋"/>
          <w:spacing w:val="-3"/>
          <w:sz w:val="24"/>
          <w:szCs w:val="24"/>
        </w:rPr>
        <w:t>2014</w:t>
      </w:r>
      <w:r>
        <w:rPr>
          <w:rFonts w:hint="eastAsia" w:ascii="仿宋" w:hAnsi="仿宋" w:eastAsia="仿宋" w:cs="仿宋"/>
          <w:spacing w:val="-14"/>
          <w:sz w:val="24"/>
          <w:szCs w:val="24"/>
        </w:rPr>
        <w:t>）；</w:t>
      </w:r>
    </w:p>
    <w:p w14:paraId="523FFED9">
      <w:pPr>
        <w:spacing w:line="360" w:lineRule="auto"/>
        <w:ind w:left="40" w:right="895" w:firstLine="519"/>
        <w:rPr>
          <w:rFonts w:hint="eastAsia" w:ascii="仿宋" w:hAnsi="仿宋" w:eastAsia="仿宋" w:cs="仿宋"/>
          <w:sz w:val="24"/>
          <w:szCs w:val="24"/>
        </w:rPr>
      </w:pPr>
      <w:r>
        <w:rPr>
          <w:rFonts w:hint="eastAsia" w:ascii="仿宋" w:hAnsi="仿宋" w:eastAsia="仿宋" w:cs="仿宋"/>
          <w:spacing w:val="-3"/>
          <w:sz w:val="24"/>
          <w:szCs w:val="24"/>
        </w:rPr>
        <w:t>(11)《电子政务标准化指南第 3</w:t>
      </w:r>
      <w:r>
        <w:rPr>
          <w:rFonts w:hint="eastAsia" w:ascii="仿宋" w:hAnsi="仿宋" w:eastAsia="仿宋" w:cs="仿宋"/>
          <w:spacing w:val="-43"/>
          <w:sz w:val="24"/>
          <w:szCs w:val="24"/>
        </w:rPr>
        <w:t xml:space="preserve"> </w:t>
      </w:r>
      <w:r>
        <w:rPr>
          <w:rFonts w:hint="eastAsia" w:ascii="仿宋" w:hAnsi="仿宋" w:eastAsia="仿宋" w:cs="仿宋"/>
          <w:spacing w:val="-3"/>
          <w:sz w:val="24"/>
          <w:szCs w:val="24"/>
        </w:rPr>
        <w:t>部分：网络建</w:t>
      </w:r>
      <w:r>
        <w:rPr>
          <w:rFonts w:hint="eastAsia" w:ascii="仿宋" w:hAnsi="仿宋" w:eastAsia="仿宋" w:cs="仿宋"/>
          <w:spacing w:val="-4"/>
          <w:sz w:val="24"/>
          <w:szCs w:val="24"/>
        </w:rPr>
        <w:t>设》（GB/T30850.3-</w:t>
      </w:r>
      <w:r>
        <w:rPr>
          <w:rFonts w:hint="eastAsia" w:ascii="仿宋" w:hAnsi="仿宋" w:eastAsia="仿宋" w:cs="仿宋"/>
          <w:sz w:val="24"/>
          <w:szCs w:val="24"/>
        </w:rPr>
        <w:t xml:space="preserve"> </w:t>
      </w:r>
      <w:r>
        <w:rPr>
          <w:rFonts w:hint="eastAsia" w:ascii="仿宋" w:hAnsi="仿宋" w:eastAsia="仿宋" w:cs="仿宋"/>
          <w:spacing w:val="-3"/>
          <w:sz w:val="24"/>
          <w:szCs w:val="24"/>
        </w:rPr>
        <w:t>2014</w:t>
      </w:r>
      <w:r>
        <w:rPr>
          <w:rFonts w:hint="eastAsia" w:ascii="仿宋" w:hAnsi="仿宋" w:eastAsia="仿宋" w:cs="仿宋"/>
          <w:spacing w:val="-14"/>
          <w:sz w:val="24"/>
          <w:szCs w:val="24"/>
        </w:rPr>
        <w:t>）；</w:t>
      </w:r>
    </w:p>
    <w:p w14:paraId="130D9B28">
      <w:pPr>
        <w:spacing w:before="1" w:line="221" w:lineRule="auto"/>
        <w:ind w:left="559"/>
        <w:rPr>
          <w:rFonts w:hint="eastAsia" w:ascii="仿宋" w:hAnsi="仿宋" w:eastAsia="仿宋" w:cs="仿宋"/>
          <w:sz w:val="24"/>
          <w:szCs w:val="24"/>
        </w:rPr>
      </w:pPr>
      <w:r>
        <w:rPr>
          <w:rFonts w:hint="eastAsia" w:ascii="仿宋" w:hAnsi="仿宋" w:eastAsia="仿宋" w:cs="仿宋"/>
          <w:spacing w:val="-3"/>
          <w:sz w:val="24"/>
          <w:szCs w:val="24"/>
        </w:rPr>
        <w:t>(12)《电子政务标准化指南第</w:t>
      </w:r>
      <w:r>
        <w:rPr>
          <w:rFonts w:hint="eastAsia" w:ascii="仿宋" w:hAnsi="仿宋" w:eastAsia="仿宋" w:cs="仿宋"/>
          <w:spacing w:val="-18"/>
          <w:sz w:val="24"/>
          <w:szCs w:val="24"/>
        </w:rPr>
        <w:t xml:space="preserve"> </w:t>
      </w:r>
      <w:r>
        <w:rPr>
          <w:rFonts w:hint="eastAsia" w:ascii="仿宋" w:hAnsi="仿宋" w:eastAsia="仿宋" w:cs="仿宋"/>
          <w:spacing w:val="-3"/>
          <w:sz w:val="24"/>
          <w:szCs w:val="24"/>
        </w:rPr>
        <w:t>4</w:t>
      </w:r>
      <w:r>
        <w:rPr>
          <w:rFonts w:hint="eastAsia" w:ascii="仿宋" w:hAnsi="仿宋" w:eastAsia="仿宋" w:cs="仿宋"/>
          <w:spacing w:val="-43"/>
          <w:sz w:val="24"/>
          <w:szCs w:val="24"/>
        </w:rPr>
        <w:t xml:space="preserve"> </w:t>
      </w:r>
      <w:r>
        <w:rPr>
          <w:rFonts w:hint="eastAsia" w:ascii="仿宋" w:hAnsi="仿宋" w:eastAsia="仿宋" w:cs="仿宋"/>
          <w:spacing w:val="-3"/>
          <w:sz w:val="24"/>
          <w:szCs w:val="24"/>
        </w:rPr>
        <w:t>部分：信息共享》（GB/T30850.4-2017</w:t>
      </w:r>
      <w:r>
        <w:rPr>
          <w:rFonts w:hint="eastAsia" w:ascii="仿宋" w:hAnsi="仿宋" w:eastAsia="仿宋" w:cs="仿宋"/>
          <w:spacing w:val="-14"/>
          <w:sz w:val="24"/>
          <w:szCs w:val="24"/>
        </w:rPr>
        <w:t>）；</w:t>
      </w:r>
    </w:p>
    <w:p w14:paraId="6C7E46BD">
      <w:pPr>
        <w:spacing w:before="179" w:line="360" w:lineRule="auto"/>
        <w:ind w:left="40" w:right="895" w:firstLine="519"/>
        <w:rPr>
          <w:rFonts w:hint="eastAsia" w:ascii="仿宋" w:hAnsi="仿宋" w:eastAsia="仿宋" w:cs="仿宋"/>
          <w:sz w:val="24"/>
          <w:szCs w:val="24"/>
        </w:rPr>
      </w:pPr>
      <w:r>
        <w:rPr>
          <w:rFonts w:hint="eastAsia" w:ascii="仿宋" w:hAnsi="仿宋" w:eastAsia="仿宋" w:cs="仿宋"/>
          <w:spacing w:val="-3"/>
          <w:sz w:val="24"/>
          <w:szCs w:val="24"/>
        </w:rPr>
        <w:t>(13)《电子政务标准化指南第 5</w:t>
      </w:r>
      <w:r>
        <w:rPr>
          <w:rFonts w:hint="eastAsia" w:ascii="仿宋" w:hAnsi="仿宋" w:eastAsia="仿宋" w:cs="仿宋"/>
          <w:spacing w:val="-43"/>
          <w:sz w:val="24"/>
          <w:szCs w:val="24"/>
        </w:rPr>
        <w:t xml:space="preserve"> </w:t>
      </w:r>
      <w:r>
        <w:rPr>
          <w:rFonts w:hint="eastAsia" w:ascii="仿宋" w:hAnsi="仿宋" w:eastAsia="仿宋" w:cs="仿宋"/>
          <w:spacing w:val="-3"/>
          <w:sz w:val="24"/>
          <w:szCs w:val="24"/>
        </w:rPr>
        <w:t>部分：支撑技</w:t>
      </w:r>
      <w:r>
        <w:rPr>
          <w:rFonts w:hint="eastAsia" w:ascii="仿宋" w:hAnsi="仿宋" w:eastAsia="仿宋" w:cs="仿宋"/>
          <w:spacing w:val="-4"/>
          <w:sz w:val="24"/>
          <w:szCs w:val="24"/>
        </w:rPr>
        <w:t>术》（GB/T30850.5-</w:t>
      </w:r>
      <w:r>
        <w:rPr>
          <w:rFonts w:hint="eastAsia" w:ascii="仿宋" w:hAnsi="仿宋" w:eastAsia="仿宋" w:cs="仿宋"/>
          <w:sz w:val="24"/>
          <w:szCs w:val="24"/>
        </w:rPr>
        <w:t xml:space="preserve"> </w:t>
      </w:r>
      <w:r>
        <w:rPr>
          <w:rFonts w:hint="eastAsia" w:ascii="仿宋" w:hAnsi="仿宋" w:eastAsia="仿宋" w:cs="仿宋"/>
          <w:spacing w:val="-3"/>
          <w:sz w:val="24"/>
          <w:szCs w:val="24"/>
        </w:rPr>
        <w:t>2014</w:t>
      </w:r>
      <w:r>
        <w:rPr>
          <w:rFonts w:hint="eastAsia" w:ascii="仿宋" w:hAnsi="仿宋" w:eastAsia="仿宋" w:cs="仿宋"/>
          <w:spacing w:val="-14"/>
          <w:sz w:val="24"/>
          <w:szCs w:val="24"/>
        </w:rPr>
        <w:t>）；</w:t>
      </w:r>
    </w:p>
    <w:p w14:paraId="3AE8444A">
      <w:pPr>
        <w:spacing w:line="360" w:lineRule="auto"/>
        <w:ind w:left="40" w:right="895" w:firstLine="519"/>
        <w:rPr>
          <w:rFonts w:hint="eastAsia" w:ascii="仿宋" w:hAnsi="仿宋" w:eastAsia="仿宋" w:cs="仿宋"/>
          <w:sz w:val="24"/>
          <w:szCs w:val="24"/>
        </w:rPr>
      </w:pPr>
      <w:r>
        <w:rPr>
          <w:rFonts w:hint="eastAsia" w:ascii="仿宋" w:hAnsi="仿宋" w:eastAsia="仿宋" w:cs="仿宋"/>
          <w:spacing w:val="-3"/>
          <w:sz w:val="24"/>
          <w:szCs w:val="24"/>
        </w:rPr>
        <w:t>(14)《电子政务标准化指南第</w:t>
      </w:r>
      <w:r>
        <w:rPr>
          <w:rFonts w:hint="eastAsia" w:ascii="仿宋" w:hAnsi="仿宋" w:eastAsia="仿宋" w:cs="仿宋"/>
          <w:spacing w:val="-18"/>
          <w:sz w:val="24"/>
          <w:szCs w:val="24"/>
        </w:rPr>
        <w:t xml:space="preserve"> </w:t>
      </w:r>
      <w:r>
        <w:rPr>
          <w:rFonts w:hint="eastAsia" w:ascii="仿宋" w:hAnsi="仿宋" w:eastAsia="仿宋" w:cs="仿宋"/>
          <w:spacing w:val="-3"/>
          <w:sz w:val="24"/>
          <w:szCs w:val="24"/>
        </w:rPr>
        <w:t>6</w:t>
      </w:r>
      <w:r>
        <w:rPr>
          <w:rFonts w:hint="eastAsia" w:ascii="仿宋" w:hAnsi="仿宋" w:eastAsia="仿宋" w:cs="仿宋"/>
          <w:spacing w:val="-43"/>
          <w:sz w:val="24"/>
          <w:szCs w:val="24"/>
        </w:rPr>
        <w:t xml:space="preserve"> </w:t>
      </w:r>
      <w:r>
        <w:rPr>
          <w:rFonts w:hint="eastAsia" w:ascii="仿宋" w:hAnsi="仿宋" w:eastAsia="仿宋" w:cs="仿宋"/>
          <w:spacing w:val="-3"/>
          <w:sz w:val="24"/>
          <w:szCs w:val="24"/>
        </w:rPr>
        <w:t>部分：信息安全》（GB/T30850.6-</w:t>
      </w:r>
      <w:r>
        <w:rPr>
          <w:rFonts w:hint="eastAsia" w:ascii="仿宋" w:hAnsi="仿宋" w:eastAsia="仿宋" w:cs="仿宋"/>
          <w:sz w:val="24"/>
          <w:szCs w:val="24"/>
        </w:rPr>
        <w:t xml:space="preserve"> </w:t>
      </w:r>
      <w:r>
        <w:rPr>
          <w:rFonts w:hint="eastAsia" w:ascii="仿宋" w:hAnsi="仿宋" w:eastAsia="仿宋" w:cs="仿宋"/>
          <w:spacing w:val="-3"/>
          <w:sz w:val="24"/>
          <w:szCs w:val="24"/>
        </w:rPr>
        <w:t>2014</w:t>
      </w:r>
      <w:r>
        <w:rPr>
          <w:rFonts w:hint="eastAsia" w:ascii="仿宋" w:hAnsi="仿宋" w:eastAsia="仿宋" w:cs="仿宋"/>
          <w:spacing w:val="-14"/>
          <w:sz w:val="24"/>
          <w:szCs w:val="24"/>
        </w:rPr>
        <w:t>）；</w:t>
      </w:r>
    </w:p>
    <w:p w14:paraId="0FE13055">
      <w:pPr>
        <w:spacing w:line="360" w:lineRule="auto"/>
        <w:ind w:left="40" w:right="175" w:firstLine="519"/>
        <w:rPr>
          <w:rFonts w:hint="eastAsia" w:ascii="仿宋" w:hAnsi="仿宋" w:eastAsia="仿宋" w:cs="仿宋"/>
          <w:sz w:val="24"/>
          <w:szCs w:val="24"/>
        </w:rPr>
      </w:pPr>
      <w:r>
        <w:rPr>
          <w:rFonts w:hint="eastAsia" w:ascii="仿宋" w:hAnsi="仿宋" w:eastAsia="仿宋" w:cs="仿宋"/>
          <w:spacing w:val="-1"/>
          <w:sz w:val="24"/>
          <w:szCs w:val="24"/>
        </w:rPr>
        <w:t>(15)《信息安全技术网络安全等级保护安全设计技术要</w:t>
      </w:r>
      <w:r>
        <w:rPr>
          <w:rFonts w:hint="eastAsia" w:ascii="仿宋" w:hAnsi="仿宋" w:eastAsia="仿宋" w:cs="仿宋"/>
          <w:spacing w:val="-2"/>
          <w:sz w:val="24"/>
          <w:szCs w:val="24"/>
        </w:rPr>
        <w:t>求》（GB/T25070-</w:t>
      </w:r>
      <w:r>
        <w:rPr>
          <w:rFonts w:hint="eastAsia" w:ascii="仿宋" w:hAnsi="仿宋" w:eastAsia="仿宋" w:cs="仿宋"/>
          <w:sz w:val="24"/>
          <w:szCs w:val="24"/>
        </w:rPr>
        <w:t xml:space="preserve"> </w:t>
      </w:r>
      <w:r>
        <w:rPr>
          <w:rFonts w:hint="eastAsia" w:ascii="仿宋" w:hAnsi="仿宋" w:eastAsia="仿宋" w:cs="仿宋"/>
          <w:spacing w:val="-3"/>
          <w:sz w:val="24"/>
          <w:szCs w:val="24"/>
        </w:rPr>
        <w:t>2019</w:t>
      </w:r>
      <w:r>
        <w:rPr>
          <w:rFonts w:hint="eastAsia" w:ascii="仿宋" w:hAnsi="仿宋" w:eastAsia="仿宋" w:cs="仿宋"/>
          <w:spacing w:val="-14"/>
          <w:sz w:val="24"/>
          <w:szCs w:val="24"/>
        </w:rPr>
        <w:t>）；</w:t>
      </w:r>
    </w:p>
    <w:p w14:paraId="3B880F6B">
      <w:pPr>
        <w:spacing w:before="1" w:line="220" w:lineRule="auto"/>
        <w:ind w:left="559"/>
        <w:rPr>
          <w:rFonts w:hint="eastAsia" w:ascii="仿宋" w:hAnsi="仿宋" w:eastAsia="仿宋" w:cs="仿宋"/>
          <w:sz w:val="24"/>
          <w:szCs w:val="24"/>
        </w:rPr>
      </w:pPr>
      <w:r>
        <w:rPr>
          <w:rFonts w:hint="eastAsia" w:ascii="仿宋" w:hAnsi="仿宋" w:eastAsia="仿宋" w:cs="仿宋"/>
          <w:spacing w:val="-1"/>
          <w:sz w:val="24"/>
          <w:szCs w:val="24"/>
        </w:rPr>
        <w:t>(16)《信息安全技术网络安全等级保护测评要求》（G</w:t>
      </w:r>
      <w:r>
        <w:rPr>
          <w:rFonts w:hint="eastAsia" w:ascii="仿宋" w:hAnsi="仿宋" w:eastAsia="仿宋" w:cs="仿宋"/>
          <w:spacing w:val="-2"/>
          <w:sz w:val="24"/>
          <w:szCs w:val="24"/>
        </w:rPr>
        <w:t>B/T28448-2019</w:t>
      </w:r>
      <w:r>
        <w:rPr>
          <w:rFonts w:hint="eastAsia" w:ascii="仿宋" w:hAnsi="仿宋" w:eastAsia="仿宋" w:cs="仿宋"/>
          <w:spacing w:val="-13"/>
          <w:sz w:val="24"/>
          <w:szCs w:val="24"/>
        </w:rPr>
        <w:t>）；</w:t>
      </w:r>
    </w:p>
    <w:p w14:paraId="3E6DB41F">
      <w:pPr>
        <w:spacing w:before="180" w:line="221" w:lineRule="auto"/>
        <w:ind w:left="559"/>
        <w:rPr>
          <w:rFonts w:hint="eastAsia" w:ascii="仿宋" w:hAnsi="仿宋" w:eastAsia="仿宋" w:cs="仿宋"/>
          <w:sz w:val="24"/>
          <w:szCs w:val="24"/>
        </w:rPr>
      </w:pPr>
      <w:r>
        <w:rPr>
          <w:rFonts w:hint="eastAsia" w:ascii="仿宋" w:hAnsi="仿宋" w:eastAsia="仿宋" w:cs="仿宋"/>
          <w:spacing w:val="-1"/>
          <w:sz w:val="24"/>
          <w:szCs w:val="24"/>
        </w:rPr>
        <w:t>(17)《信息安全技术网络安全等级保护定级指南》（G</w:t>
      </w:r>
      <w:r>
        <w:rPr>
          <w:rFonts w:hint="eastAsia" w:ascii="仿宋" w:hAnsi="仿宋" w:eastAsia="仿宋" w:cs="仿宋"/>
          <w:spacing w:val="-2"/>
          <w:sz w:val="24"/>
          <w:szCs w:val="24"/>
        </w:rPr>
        <w:t>B/T22240-2020</w:t>
      </w:r>
      <w:r>
        <w:rPr>
          <w:rFonts w:hint="eastAsia" w:ascii="仿宋" w:hAnsi="仿宋" w:eastAsia="仿宋" w:cs="仿宋"/>
          <w:spacing w:val="-13"/>
          <w:sz w:val="24"/>
          <w:szCs w:val="24"/>
        </w:rPr>
        <w:t>）；</w:t>
      </w:r>
    </w:p>
    <w:p w14:paraId="1910B4B4">
      <w:pPr>
        <w:spacing w:before="180" w:line="221" w:lineRule="auto"/>
        <w:ind w:left="559"/>
        <w:rPr>
          <w:rFonts w:hint="eastAsia" w:ascii="仿宋" w:hAnsi="仿宋" w:eastAsia="仿宋" w:cs="仿宋"/>
          <w:sz w:val="24"/>
          <w:szCs w:val="24"/>
        </w:rPr>
      </w:pPr>
      <w:r>
        <w:rPr>
          <w:rFonts w:hint="eastAsia" w:ascii="仿宋" w:hAnsi="仿宋" w:eastAsia="仿宋" w:cs="仿宋"/>
          <w:spacing w:val="-1"/>
          <w:sz w:val="24"/>
          <w:szCs w:val="24"/>
        </w:rPr>
        <w:t>(18)《信息安全技术网络安全等级保护实施指南》（G</w:t>
      </w:r>
      <w:r>
        <w:rPr>
          <w:rFonts w:hint="eastAsia" w:ascii="仿宋" w:hAnsi="仿宋" w:eastAsia="仿宋" w:cs="仿宋"/>
          <w:spacing w:val="-2"/>
          <w:sz w:val="24"/>
          <w:szCs w:val="24"/>
        </w:rPr>
        <w:t>B/T25058-2019</w:t>
      </w:r>
      <w:r>
        <w:rPr>
          <w:rFonts w:hint="eastAsia" w:ascii="仿宋" w:hAnsi="仿宋" w:eastAsia="仿宋" w:cs="仿宋"/>
          <w:spacing w:val="-13"/>
          <w:sz w:val="24"/>
          <w:szCs w:val="24"/>
        </w:rPr>
        <w:t>）；</w:t>
      </w:r>
    </w:p>
    <w:p w14:paraId="73CFA961">
      <w:pPr>
        <w:spacing w:before="180" w:line="222" w:lineRule="auto"/>
        <w:ind w:left="559"/>
        <w:rPr>
          <w:rFonts w:hint="eastAsia" w:ascii="仿宋" w:hAnsi="仿宋" w:eastAsia="仿宋" w:cs="仿宋"/>
          <w:sz w:val="24"/>
          <w:szCs w:val="24"/>
        </w:rPr>
      </w:pPr>
      <w:r>
        <w:rPr>
          <w:rFonts w:hint="eastAsia" w:ascii="仿宋" w:hAnsi="仿宋" w:eastAsia="仿宋" w:cs="仿宋"/>
          <w:spacing w:val="-1"/>
          <w:sz w:val="24"/>
          <w:szCs w:val="24"/>
        </w:rPr>
        <w:t>(19)《信息安全技术应用软件安全编程指南》</w:t>
      </w:r>
      <w:r>
        <w:rPr>
          <w:rFonts w:hint="eastAsia" w:ascii="仿宋" w:hAnsi="仿宋" w:eastAsia="仿宋" w:cs="仿宋"/>
          <w:spacing w:val="-2"/>
          <w:sz w:val="24"/>
          <w:szCs w:val="24"/>
        </w:rPr>
        <w:t>（GB/T38674-2020</w:t>
      </w:r>
      <w:r>
        <w:rPr>
          <w:rFonts w:hint="eastAsia" w:ascii="仿宋" w:hAnsi="仿宋" w:eastAsia="仿宋" w:cs="仿宋"/>
          <w:spacing w:val="-13"/>
          <w:sz w:val="24"/>
          <w:szCs w:val="24"/>
        </w:rPr>
        <w:t>）；</w:t>
      </w:r>
    </w:p>
    <w:p w14:paraId="076DB83A">
      <w:pPr>
        <w:spacing w:before="179" w:line="222" w:lineRule="auto"/>
        <w:ind w:left="559"/>
        <w:rPr>
          <w:rFonts w:hint="eastAsia" w:ascii="仿宋" w:hAnsi="仿宋" w:eastAsia="仿宋" w:cs="仿宋"/>
          <w:sz w:val="24"/>
          <w:szCs w:val="24"/>
        </w:rPr>
      </w:pPr>
      <w:r>
        <w:rPr>
          <w:rFonts w:hint="eastAsia" w:ascii="仿宋" w:hAnsi="仿宋" w:eastAsia="仿宋" w:cs="仿宋"/>
          <w:spacing w:val="-2"/>
          <w:sz w:val="24"/>
          <w:szCs w:val="24"/>
        </w:rPr>
        <w:t>(20)《信息安全技术信息系统密码应用基本要求》（GB/T39786-2021）。</w:t>
      </w:r>
    </w:p>
    <w:p w14:paraId="07D7ADEC">
      <w:pPr>
        <w:pStyle w:val="4"/>
        <w:bidi w:val="0"/>
        <w:rPr>
          <w:rFonts w:hint="eastAsia" w:ascii="仿宋" w:hAnsi="仿宋" w:eastAsia="仿宋" w:cs="仿宋"/>
          <w:sz w:val="24"/>
          <w:szCs w:val="24"/>
        </w:rPr>
      </w:pPr>
      <w:r>
        <w:rPr>
          <w:rFonts w:hint="eastAsia"/>
        </w:rPr>
        <w:t>3.2.服务内容及要求/货物技术要求</w:t>
      </w:r>
    </w:p>
    <w:p w14:paraId="63FF2F93">
      <w:pPr>
        <w:pStyle w:val="5"/>
        <w:bidi w:val="0"/>
        <w:rPr>
          <w:rFonts w:hint="eastAsia" w:ascii="仿宋" w:hAnsi="仿宋" w:eastAsia="仿宋" w:cs="仿宋"/>
          <w:sz w:val="24"/>
          <w:szCs w:val="24"/>
        </w:rPr>
      </w:pPr>
      <w:r>
        <w:rPr>
          <w:rFonts w:hint="eastAsia" w:ascii="仿宋" w:hAnsi="仿宋" w:eastAsia="仿宋" w:cs="仿宋"/>
          <w:b/>
          <w:bCs/>
          <w:spacing w:val="-5"/>
          <w:sz w:val="24"/>
          <w:szCs w:val="24"/>
        </w:rPr>
        <w:t>3.2.1</w:t>
      </w:r>
      <w:r>
        <w:rPr>
          <w:rFonts w:hint="eastAsia" w:ascii="仿宋" w:hAnsi="仿宋" w:eastAsia="仿宋" w:cs="仿宋"/>
          <w:spacing w:val="-37"/>
          <w:sz w:val="24"/>
          <w:szCs w:val="24"/>
        </w:rPr>
        <w:t xml:space="preserve"> </w:t>
      </w:r>
      <w:r>
        <w:rPr>
          <w:rFonts w:hint="eastAsia" w:ascii="仿宋" w:hAnsi="仿宋" w:eastAsia="仿宋" w:cs="仿宋"/>
          <w:b/>
          <w:bCs/>
          <w:spacing w:val="-5"/>
          <w:sz w:val="24"/>
          <w:szCs w:val="24"/>
        </w:rPr>
        <w:t>技术服务要求</w:t>
      </w:r>
    </w:p>
    <w:p w14:paraId="44472FA5">
      <w:pPr>
        <w:spacing w:before="210" w:line="385" w:lineRule="auto"/>
        <w:ind w:left="67" w:right="28" w:firstLine="458"/>
        <w:rPr>
          <w:rFonts w:hint="eastAsia" w:ascii="仿宋" w:hAnsi="仿宋" w:eastAsia="仿宋" w:cs="仿宋"/>
          <w:sz w:val="24"/>
          <w:szCs w:val="24"/>
        </w:rPr>
      </w:pPr>
      <w:r>
        <w:rPr>
          <w:rFonts w:hint="eastAsia" w:ascii="仿宋" w:hAnsi="仿宋" w:eastAsia="仿宋" w:cs="仿宋"/>
          <w:spacing w:val="-3"/>
          <w:sz w:val="24"/>
          <w:szCs w:val="24"/>
        </w:rPr>
        <w:t>本次项目要求依托咸宁市卫生健康委员会，咸</w:t>
      </w:r>
      <w:r>
        <w:rPr>
          <w:rFonts w:hint="eastAsia" w:ascii="仿宋" w:hAnsi="仿宋" w:eastAsia="仿宋" w:cs="仿宋"/>
          <w:spacing w:val="-4"/>
          <w:sz w:val="24"/>
          <w:szCs w:val="24"/>
        </w:rPr>
        <w:t>宁市公共卫生重大疫情信息平</w:t>
      </w:r>
      <w:r>
        <w:rPr>
          <w:rFonts w:hint="eastAsia" w:ascii="仿宋" w:hAnsi="仿宋" w:eastAsia="仿宋" w:cs="仿宋"/>
          <w:spacing w:val="-5"/>
          <w:sz w:val="24"/>
          <w:szCs w:val="24"/>
        </w:rPr>
        <w:t>台项目的</w:t>
      </w:r>
      <w:r>
        <w:rPr>
          <w:rFonts w:hint="eastAsia" w:ascii="仿宋" w:hAnsi="仿宋" w:eastAsia="仿宋" w:cs="仿宋"/>
          <w:spacing w:val="-20"/>
          <w:sz w:val="24"/>
          <w:szCs w:val="24"/>
        </w:rPr>
        <w:t xml:space="preserve"> </w:t>
      </w:r>
      <w:r>
        <w:rPr>
          <w:rFonts w:hint="eastAsia" w:ascii="仿宋" w:hAnsi="仿宋" w:eastAsia="仿宋" w:cs="仿宋"/>
          <w:spacing w:val="-5"/>
          <w:sz w:val="24"/>
          <w:szCs w:val="24"/>
        </w:rPr>
        <w:t>120</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指挥调度平台系统功能基础上进行建设。</w:t>
      </w:r>
    </w:p>
    <w:p w14:paraId="4109E9B9">
      <w:pPr>
        <w:spacing w:before="3" w:line="384" w:lineRule="auto"/>
        <w:ind w:left="44" w:right="27" w:firstLine="481"/>
        <w:rPr>
          <w:rFonts w:hint="eastAsia" w:ascii="仿宋" w:hAnsi="仿宋" w:eastAsia="仿宋" w:cs="仿宋"/>
          <w:sz w:val="24"/>
          <w:szCs w:val="24"/>
        </w:rPr>
      </w:pPr>
      <w:r>
        <w:rPr>
          <w:rFonts w:hint="eastAsia" w:ascii="仿宋" w:hAnsi="仿宋" w:eastAsia="仿宋" w:cs="仿宋"/>
          <w:spacing w:val="2"/>
          <w:sz w:val="24"/>
          <w:szCs w:val="24"/>
        </w:rPr>
        <w:t>▲供应商所投产品必须保证建设完成后的系统与咸宁市急救中心</w:t>
      </w:r>
      <w:r>
        <w:rPr>
          <w:rFonts w:hint="eastAsia" w:ascii="仿宋" w:hAnsi="仿宋" w:eastAsia="仿宋" w:cs="仿宋"/>
          <w:spacing w:val="-32"/>
          <w:sz w:val="24"/>
          <w:szCs w:val="24"/>
        </w:rPr>
        <w:t xml:space="preserve"> </w:t>
      </w:r>
      <w:r>
        <w:rPr>
          <w:rFonts w:hint="eastAsia" w:ascii="仿宋" w:hAnsi="仿宋" w:eastAsia="仿宋" w:cs="仿宋"/>
          <w:spacing w:val="2"/>
          <w:sz w:val="24"/>
          <w:szCs w:val="24"/>
        </w:rPr>
        <w:t>120</w:t>
      </w:r>
      <w:r>
        <w:rPr>
          <w:rFonts w:hint="eastAsia" w:ascii="仿宋" w:hAnsi="仿宋" w:eastAsia="仿宋" w:cs="仿宋"/>
          <w:spacing w:val="-27"/>
          <w:sz w:val="24"/>
          <w:szCs w:val="24"/>
        </w:rPr>
        <w:t xml:space="preserve"> </w:t>
      </w:r>
      <w:r>
        <w:rPr>
          <w:rFonts w:hint="eastAsia" w:ascii="仿宋" w:hAnsi="仿宋" w:eastAsia="仿宋" w:cs="仿宋"/>
          <w:spacing w:val="2"/>
          <w:sz w:val="24"/>
          <w:szCs w:val="24"/>
        </w:rPr>
        <w:t>急救</w:t>
      </w:r>
      <w:r>
        <w:rPr>
          <w:rFonts w:hint="eastAsia" w:ascii="仿宋" w:hAnsi="仿宋" w:eastAsia="仿宋" w:cs="仿宋"/>
          <w:spacing w:val="-3"/>
          <w:sz w:val="24"/>
          <w:szCs w:val="24"/>
        </w:rPr>
        <w:t>指挥调度系统实现无缝对接，且具备与咸宁辖区内县市急救中心的</w:t>
      </w:r>
      <w:r>
        <w:rPr>
          <w:rFonts w:hint="eastAsia" w:ascii="仿宋" w:hAnsi="仿宋" w:eastAsia="仿宋" w:cs="仿宋"/>
          <w:spacing w:val="-4"/>
          <w:sz w:val="24"/>
          <w:szCs w:val="24"/>
        </w:rPr>
        <w:t>指挥调度系统</w:t>
      </w:r>
      <w:r>
        <w:rPr>
          <w:rFonts w:hint="eastAsia" w:ascii="仿宋" w:hAnsi="仿宋" w:eastAsia="仿宋" w:cs="仿宋"/>
          <w:spacing w:val="-8"/>
          <w:sz w:val="24"/>
          <w:szCs w:val="24"/>
        </w:rPr>
        <w:t>实现数据互联互通，达到市、县（市区）联网，实现信息共享、联网调度，</w:t>
      </w:r>
      <w:r>
        <w:rPr>
          <w:rFonts w:hint="eastAsia" w:ascii="仿宋" w:hAnsi="仿宋" w:eastAsia="仿宋" w:cs="仿宋"/>
          <w:spacing w:val="-9"/>
          <w:sz w:val="24"/>
          <w:szCs w:val="24"/>
        </w:rPr>
        <w:t>增强</w:t>
      </w:r>
      <w:r>
        <w:rPr>
          <w:rFonts w:hint="eastAsia" w:ascii="仿宋" w:hAnsi="仿宋" w:eastAsia="仿宋" w:cs="仿宋"/>
          <w:spacing w:val="-4"/>
          <w:sz w:val="24"/>
          <w:szCs w:val="24"/>
        </w:rPr>
        <w:t>突发性事件的应急处理能力。</w:t>
      </w:r>
    </w:p>
    <w:p w14:paraId="0BF1B028">
      <w:pPr>
        <w:spacing w:before="2" w:line="384" w:lineRule="auto"/>
        <w:ind w:left="44" w:right="28" w:firstLine="481"/>
        <w:rPr>
          <w:rFonts w:hint="eastAsia" w:ascii="仿宋" w:hAnsi="仿宋" w:eastAsia="仿宋" w:cs="仿宋"/>
          <w:sz w:val="24"/>
          <w:szCs w:val="24"/>
        </w:rPr>
      </w:pPr>
      <w:r>
        <w:rPr>
          <w:rFonts w:hint="eastAsia" w:ascii="仿宋" w:hAnsi="仿宋" w:eastAsia="仿宋" w:cs="仿宋"/>
          <w:spacing w:val="2"/>
          <w:sz w:val="24"/>
          <w:szCs w:val="24"/>
        </w:rPr>
        <w:t>▲供应商所投产品必须保证能够无缝衔接咸宁市现有的</w:t>
      </w:r>
      <w:r>
        <w:rPr>
          <w:rFonts w:hint="eastAsia" w:ascii="仿宋" w:hAnsi="仿宋" w:eastAsia="仿宋" w:cs="仿宋"/>
          <w:spacing w:val="-19"/>
          <w:sz w:val="24"/>
          <w:szCs w:val="24"/>
        </w:rPr>
        <w:t xml:space="preserve"> </w:t>
      </w:r>
      <w:r>
        <w:rPr>
          <w:rFonts w:hint="eastAsia" w:ascii="仿宋" w:hAnsi="仿宋" w:eastAsia="仿宋" w:cs="仿宋"/>
          <w:spacing w:val="2"/>
          <w:sz w:val="24"/>
          <w:szCs w:val="24"/>
        </w:rPr>
        <w:t>120</w:t>
      </w:r>
      <w:r>
        <w:rPr>
          <w:rFonts w:hint="eastAsia" w:ascii="仿宋" w:hAnsi="仿宋" w:eastAsia="仿宋" w:cs="仿宋"/>
          <w:spacing w:val="-39"/>
          <w:sz w:val="24"/>
          <w:szCs w:val="24"/>
        </w:rPr>
        <w:t xml:space="preserve"> </w:t>
      </w:r>
      <w:r>
        <w:rPr>
          <w:rFonts w:hint="eastAsia" w:ascii="仿宋" w:hAnsi="仿宋" w:eastAsia="仿宋" w:cs="仿宋"/>
          <w:spacing w:val="2"/>
          <w:sz w:val="24"/>
          <w:szCs w:val="24"/>
        </w:rPr>
        <w:t>调度指挥系统</w:t>
      </w:r>
      <w:r>
        <w:rPr>
          <w:rFonts w:hint="eastAsia" w:ascii="仿宋" w:hAnsi="仿宋" w:eastAsia="仿宋" w:cs="仿宋"/>
          <w:sz w:val="24"/>
          <w:szCs w:val="24"/>
        </w:rPr>
        <w:t>（包括但不限于车载信息终端系统、无线视频车载终端、互联网地理信息(GIS)</w:t>
      </w:r>
      <w:r>
        <w:rPr>
          <w:rFonts w:hint="eastAsia" w:ascii="仿宋" w:hAnsi="仿宋" w:eastAsia="仿宋" w:cs="仿宋"/>
          <w:spacing w:val="-3"/>
          <w:sz w:val="24"/>
          <w:szCs w:val="24"/>
        </w:rPr>
        <w:t>系统、短信回访系统及视频监控平台等系统）。</w:t>
      </w:r>
    </w:p>
    <w:p w14:paraId="542C6F55">
      <w:pPr>
        <w:pStyle w:val="5"/>
        <w:bidi w:val="0"/>
        <w:rPr>
          <w:rFonts w:hint="eastAsia" w:ascii="仿宋" w:hAnsi="仿宋" w:eastAsia="仿宋" w:cs="仿宋"/>
          <w:sz w:val="24"/>
          <w:szCs w:val="24"/>
        </w:rPr>
      </w:pPr>
      <w:r>
        <w:rPr>
          <w:rFonts w:hint="eastAsia" w:ascii="仿宋" w:hAnsi="仿宋" w:eastAsia="仿宋" w:cs="仿宋"/>
          <w:b/>
          <w:bCs/>
          <w:spacing w:val="-4"/>
          <w:sz w:val="24"/>
          <w:szCs w:val="24"/>
        </w:rPr>
        <w:t>3.2.2</w:t>
      </w:r>
      <w:r>
        <w:rPr>
          <w:rFonts w:hint="eastAsia" w:ascii="仿宋" w:hAnsi="仿宋" w:eastAsia="仿宋" w:cs="仿宋"/>
          <w:spacing w:val="-39"/>
          <w:sz w:val="24"/>
          <w:szCs w:val="24"/>
        </w:rPr>
        <w:t xml:space="preserve"> </w:t>
      </w:r>
      <w:r>
        <w:rPr>
          <w:rFonts w:hint="eastAsia" w:ascii="仿宋" w:hAnsi="仿宋" w:eastAsia="仿宋" w:cs="仿宋"/>
          <w:b/>
          <w:bCs/>
          <w:spacing w:val="-4"/>
          <w:sz w:val="24"/>
          <w:szCs w:val="24"/>
        </w:rPr>
        <w:t>完工期限、质量要求</w:t>
      </w:r>
    </w:p>
    <w:p w14:paraId="5E68F196">
      <w:pPr>
        <w:spacing w:before="133" w:line="222" w:lineRule="auto"/>
        <w:ind w:left="529"/>
        <w:rPr>
          <w:rFonts w:hint="eastAsia" w:ascii="仿宋" w:hAnsi="仿宋" w:eastAsia="仿宋" w:cs="仿宋"/>
          <w:sz w:val="24"/>
          <w:szCs w:val="24"/>
        </w:rPr>
      </w:pPr>
      <w:r>
        <w:rPr>
          <w:rFonts w:hint="eastAsia" w:ascii="仿宋" w:hAnsi="仿宋" w:eastAsia="仿宋" w:cs="仿宋"/>
          <w:spacing w:val="-6"/>
          <w:sz w:val="24"/>
          <w:szCs w:val="24"/>
        </w:rPr>
        <w:t>完工期限：</w:t>
      </w:r>
      <w:r>
        <w:rPr>
          <w:rFonts w:hint="eastAsia" w:ascii="仿宋" w:hAnsi="仿宋" w:eastAsia="仿宋" w:cs="仿宋"/>
          <w:spacing w:val="-6"/>
          <w:sz w:val="24"/>
          <w:szCs w:val="24"/>
          <w:lang w:val="en-US" w:eastAsia="zh-CN"/>
        </w:rPr>
        <w:t>25</w:t>
      </w:r>
      <w:r>
        <w:rPr>
          <w:rFonts w:hint="eastAsia" w:ascii="仿宋" w:hAnsi="仿宋" w:eastAsia="仿宋" w:cs="仿宋"/>
          <w:spacing w:val="-6"/>
          <w:sz w:val="24"/>
          <w:szCs w:val="24"/>
        </w:rPr>
        <w:t>日历天</w:t>
      </w:r>
    </w:p>
    <w:p w14:paraId="598C404F">
      <w:pPr>
        <w:spacing w:before="180" w:line="222" w:lineRule="auto"/>
        <w:ind w:left="530"/>
        <w:rPr>
          <w:rFonts w:hint="eastAsia" w:ascii="仿宋" w:hAnsi="仿宋" w:eastAsia="仿宋" w:cs="仿宋"/>
          <w:sz w:val="24"/>
          <w:szCs w:val="24"/>
        </w:rPr>
      </w:pPr>
      <w:r>
        <w:rPr>
          <w:rFonts w:hint="eastAsia" w:ascii="仿宋" w:hAnsi="仿宋" w:eastAsia="仿宋" w:cs="仿宋"/>
          <w:spacing w:val="-5"/>
          <w:sz w:val="24"/>
          <w:szCs w:val="24"/>
        </w:rPr>
        <w:t>质量要求</w:t>
      </w:r>
    </w:p>
    <w:p w14:paraId="39383804">
      <w:pPr>
        <w:spacing w:before="179" w:line="221" w:lineRule="auto"/>
        <w:ind w:left="535"/>
        <w:rPr>
          <w:rFonts w:hint="eastAsia" w:ascii="仿宋" w:hAnsi="仿宋" w:eastAsia="仿宋" w:cs="仿宋"/>
          <w:sz w:val="24"/>
          <w:szCs w:val="24"/>
        </w:rPr>
      </w:pPr>
      <w:r>
        <w:rPr>
          <w:rFonts w:hint="eastAsia" w:ascii="仿宋" w:hAnsi="仿宋" w:eastAsia="仿宋" w:cs="仿宋"/>
          <w:spacing w:val="-2"/>
          <w:sz w:val="24"/>
          <w:szCs w:val="24"/>
        </w:rPr>
        <w:t>1．成交供应商需制定详细的人力规划，为项目实施提供人力保证。</w:t>
      </w:r>
    </w:p>
    <w:p w14:paraId="5DD84F31">
      <w:pPr>
        <w:spacing w:before="180" w:line="221" w:lineRule="auto"/>
        <w:ind w:left="520"/>
        <w:rPr>
          <w:rFonts w:hint="eastAsia" w:ascii="仿宋" w:hAnsi="仿宋" w:eastAsia="仿宋" w:cs="仿宋"/>
          <w:spacing w:val="-2"/>
          <w:sz w:val="24"/>
          <w:szCs w:val="24"/>
        </w:rPr>
      </w:pPr>
      <w:r>
        <w:rPr>
          <w:rFonts w:hint="eastAsia" w:ascii="仿宋" w:hAnsi="仿宋" w:eastAsia="仿宋" w:cs="仿宋"/>
          <w:spacing w:val="-2"/>
          <w:sz w:val="24"/>
          <w:szCs w:val="24"/>
        </w:rPr>
        <w:t>2．成交供应商需制定完整的进度管控计划，保证项目按进度实施。</w:t>
      </w:r>
    </w:p>
    <w:p w14:paraId="4EA530A4">
      <w:pPr>
        <w:spacing w:before="180" w:line="221" w:lineRule="auto"/>
        <w:ind w:left="520"/>
        <w:rPr>
          <w:rFonts w:hint="eastAsia" w:ascii="仿宋" w:hAnsi="仿宋" w:eastAsia="仿宋" w:cs="仿宋"/>
          <w:sz w:val="24"/>
          <w:szCs w:val="24"/>
        </w:rPr>
      </w:pPr>
      <w:r>
        <w:rPr>
          <w:rFonts w:hint="eastAsia" w:ascii="仿宋" w:hAnsi="仿宋" w:eastAsia="仿宋" w:cs="仿宋"/>
          <w:spacing w:val="-3"/>
          <w:sz w:val="24"/>
          <w:szCs w:val="24"/>
        </w:rPr>
        <w:t>3．成交供应商制定完整的质量管控计划。</w:t>
      </w:r>
    </w:p>
    <w:p w14:paraId="4E1A5C53">
      <w:pPr>
        <w:spacing w:before="179" w:line="223" w:lineRule="auto"/>
        <w:ind w:left="516"/>
        <w:rPr>
          <w:rFonts w:hint="eastAsia" w:ascii="仿宋" w:hAnsi="仿宋" w:eastAsia="仿宋" w:cs="仿宋"/>
          <w:sz w:val="24"/>
          <w:szCs w:val="24"/>
        </w:rPr>
      </w:pPr>
      <w:r>
        <w:rPr>
          <w:rFonts w:hint="eastAsia" w:ascii="仿宋" w:hAnsi="仿宋" w:eastAsia="仿宋" w:cs="仿宋"/>
          <w:spacing w:val="-2"/>
          <w:sz w:val="24"/>
          <w:szCs w:val="24"/>
        </w:rPr>
        <w:t>4．成交供应商拟定安全文明施工的管理措施。</w:t>
      </w:r>
    </w:p>
    <w:p w14:paraId="32E70B8F">
      <w:pPr>
        <w:spacing w:before="178" w:line="360" w:lineRule="auto"/>
        <w:ind w:left="45" w:right="55" w:firstLine="476"/>
        <w:rPr>
          <w:rFonts w:hint="eastAsia" w:ascii="仿宋" w:hAnsi="仿宋" w:eastAsia="仿宋" w:cs="仿宋"/>
          <w:sz w:val="24"/>
          <w:szCs w:val="24"/>
        </w:rPr>
      </w:pPr>
      <w:r>
        <w:rPr>
          <w:rFonts w:hint="eastAsia" w:ascii="仿宋" w:hAnsi="仿宋" w:eastAsia="仿宋" w:cs="仿宋"/>
          <w:sz w:val="24"/>
          <w:szCs w:val="24"/>
        </w:rPr>
        <w:t>5．成交供应商应有详细的文档管理方案。</w:t>
      </w:r>
      <w:r>
        <w:rPr>
          <w:rFonts w:hint="eastAsia" w:ascii="仿宋" w:hAnsi="仿宋" w:eastAsia="仿宋" w:cs="仿宋"/>
          <w:spacing w:val="-1"/>
          <w:sz w:val="24"/>
          <w:szCs w:val="24"/>
        </w:rPr>
        <w:t>保证向用户提供详细、全面的技</w:t>
      </w:r>
      <w:r>
        <w:rPr>
          <w:rFonts w:hint="eastAsia" w:ascii="仿宋" w:hAnsi="仿宋" w:eastAsia="仿宋" w:cs="仿宋"/>
          <w:spacing w:val="-2"/>
          <w:sz w:val="24"/>
          <w:szCs w:val="24"/>
        </w:rPr>
        <w:t>术文档，满足急救中心今后进行使用、维护及扩充的需要。</w:t>
      </w:r>
    </w:p>
    <w:p w14:paraId="2393571C">
      <w:pPr>
        <w:spacing w:before="1" w:line="220" w:lineRule="auto"/>
        <w:ind w:left="519"/>
        <w:rPr>
          <w:rFonts w:hint="eastAsia" w:ascii="仿宋" w:hAnsi="仿宋" w:eastAsia="仿宋" w:cs="仿宋"/>
          <w:sz w:val="24"/>
          <w:szCs w:val="24"/>
        </w:rPr>
      </w:pPr>
      <w:r>
        <w:rPr>
          <w:rFonts w:hint="eastAsia" w:ascii="仿宋" w:hAnsi="仿宋" w:eastAsia="仿宋" w:cs="仿宋"/>
          <w:spacing w:val="-2"/>
          <w:sz w:val="24"/>
          <w:szCs w:val="24"/>
        </w:rPr>
        <w:t>6．成交供应商制定详细的培训及服务措施。</w:t>
      </w:r>
    </w:p>
    <w:p w14:paraId="600831CC">
      <w:pPr>
        <w:pStyle w:val="5"/>
        <w:bidi w:val="0"/>
        <w:rPr>
          <w:rFonts w:hint="eastAsia" w:ascii="仿宋" w:hAnsi="仿宋" w:eastAsia="仿宋" w:cs="仿宋"/>
          <w:b/>
          <w:bCs/>
          <w:spacing w:val="-4"/>
          <w:sz w:val="24"/>
          <w:szCs w:val="24"/>
        </w:rPr>
      </w:pPr>
      <w:r>
        <w:rPr>
          <w:rFonts w:hint="eastAsia" w:ascii="仿宋" w:hAnsi="仿宋" w:eastAsia="仿宋" w:cs="仿宋"/>
          <w:b/>
          <w:bCs/>
          <w:spacing w:val="-4"/>
          <w:sz w:val="24"/>
          <w:szCs w:val="24"/>
        </w:rPr>
        <w:t>3.2.3 售后服务</w:t>
      </w:r>
    </w:p>
    <w:p w14:paraId="12FF7A08">
      <w:pPr>
        <w:spacing w:before="135" w:line="360" w:lineRule="auto"/>
        <w:ind w:left="44" w:right="69" w:firstLine="490"/>
        <w:rPr>
          <w:rFonts w:hint="eastAsia" w:ascii="仿宋" w:hAnsi="仿宋" w:eastAsia="仿宋" w:cs="仿宋"/>
          <w:sz w:val="24"/>
          <w:szCs w:val="24"/>
        </w:rPr>
      </w:pPr>
      <w:r>
        <w:rPr>
          <w:rFonts w:hint="eastAsia" w:ascii="仿宋" w:hAnsi="仿宋" w:eastAsia="仿宋" w:cs="仿宋"/>
          <w:spacing w:val="-1"/>
          <w:sz w:val="24"/>
          <w:szCs w:val="24"/>
        </w:rPr>
        <w:t>1、自项目完成后双方代表在最终验收单上签字或盖章</w:t>
      </w:r>
      <w:r>
        <w:rPr>
          <w:rFonts w:hint="eastAsia" w:ascii="仿宋" w:hAnsi="仿宋" w:eastAsia="仿宋" w:cs="仿宋"/>
          <w:spacing w:val="-2"/>
          <w:sz w:val="24"/>
          <w:szCs w:val="24"/>
        </w:rPr>
        <w:t>之日起计算免费保修期限。</w:t>
      </w:r>
      <w:r>
        <w:rPr>
          <w:rFonts w:hint="eastAsia" w:ascii="仿宋" w:hAnsi="仿宋" w:eastAsia="仿宋" w:cs="仿宋"/>
          <w:b/>
          <w:bCs/>
          <w:spacing w:val="-2"/>
          <w:sz w:val="24"/>
          <w:szCs w:val="24"/>
        </w:rPr>
        <w:t>对</w:t>
      </w:r>
      <w:r>
        <w:rPr>
          <w:rFonts w:hint="eastAsia" w:ascii="仿宋" w:hAnsi="仿宋" w:eastAsia="仿宋" w:cs="仿宋"/>
          <w:b/>
          <w:bCs/>
          <w:spacing w:val="-2"/>
          <w:sz w:val="24"/>
          <w:szCs w:val="24"/>
          <w:lang w:val="en-US" w:eastAsia="zh-CN"/>
        </w:rPr>
        <w:t>所投软件和</w:t>
      </w:r>
      <w:r>
        <w:rPr>
          <w:rFonts w:hint="eastAsia" w:ascii="仿宋" w:hAnsi="仿宋" w:eastAsia="仿宋" w:cs="仿宋"/>
          <w:b/>
          <w:bCs/>
          <w:spacing w:val="-2"/>
          <w:sz w:val="24"/>
          <w:szCs w:val="24"/>
        </w:rPr>
        <w:t>硬件设备</w:t>
      </w:r>
      <w:r>
        <w:rPr>
          <w:rFonts w:hint="eastAsia" w:ascii="仿宋" w:hAnsi="仿宋" w:eastAsia="仿宋" w:cs="仿宋"/>
          <w:b/>
          <w:bCs/>
          <w:spacing w:val="-2"/>
          <w:sz w:val="24"/>
          <w:szCs w:val="24"/>
          <w:lang w:val="en-US" w:eastAsia="zh-CN"/>
        </w:rPr>
        <w:t>都</w:t>
      </w:r>
      <w:r>
        <w:rPr>
          <w:rFonts w:hint="eastAsia" w:ascii="仿宋" w:hAnsi="仿宋" w:eastAsia="仿宋" w:cs="仿宋"/>
          <w:b/>
          <w:bCs/>
          <w:spacing w:val="-2"/>
          <w:sz w:val="24"/>
          <w:szCs w:val="24"/>
        </w:rPr>
        <w:t>提供两年免费维护服务</w:t>
      </w:r>
      <w:r>
        <w:rPr>
          <w:rFonts w:hint="eastAsia" w:ascii="仿宋" w:hAnsi="仿宋" w:eastAsia="仿宋" w:cs="仿宋"/>
          <w:spacing w:val="-1"/>
          <w:sz w:val="24"/>
          <w:szCs w:val="24"/>
        </w:rPr>
        <w:t>。维护内容至少包括：所有硬件故障的维修和</w:t>
      </w:r>
      <w:r>
        <w:rPr>
          <w:rFonts w:hint="eastAsia" w:ascii="仿宋" w:hAnsi="仿宋" w:eastAsia="仿宋" w:cs="仿宋"/>
          <w:spacing w:val="-2"/>
          <w:sz w:val="24"/>
          <w:szCs w:val="24"/>
        </w:rPr>
        <w:t>更换；所有软件的升</w:t>
      </w:r>
      <w:r>
        <w:rPr>
          <w:rFonts w:hint="eastAsia" w:ascii="仿宋" w:hAnsi="仿宋" w:eastAsia="仿宋" w:cs="仿宋"/>
          <w:spacing w:val="-1"/>
          <w:sz w:val="24"/>
          <w:szCs w:val="24"/>
        </w:rPr>
        <w:t>级和故障排除；国家有关部门有规定或供应商、设备制造商公开承诺的服务标</w:t>
      </w:r>
      <w:r>
        <w:rPr>
          <w:rFonts w:hint="eastAsia" w:ascii="仿宋" w:hAnsi="仿宋" w:eastAsia="仿宋" w:cs="仿宋"/>
          <w:spacing w:val="-3"/>
          <w:sz w:val="24"/>
          <w:szCs w:val="24"/>
        </w:rPr>
        <w:t>准高于招标文件要求的，按其标准执行。</w:t>
      </w:r>
    </w:p>
    <w:p w14:paraId="77788337">
      <w:pPr>
        <w:spacing w:before="8" w:line="359" w:lineRule="auto"/>
        <w:ind w:left="46" w:right="86" w:firstLine="473"/>
        <w:rPr>
          <w:rFonts w:hint="eastAsia" w:ascii="仿宋" w:hAnsi="仿宋" w:eastAsia="仿宋" w:cs="仿宋"/>
          <w:sz w:val="24"/>
          <w:szCs w:val="24"/>
        </w:rPr>
      </w:pPr>
      <w:r>
        <w:rPr>
          <w:rFonts w:hint="eastAsia" w:ascii="仿宋" w:hAnsi="仿宋" w:eastAsia="仿宋" w:cs="仿宋"/>
          <w:spacing w:val="-3"/>
          <w:sz w:val="24"/>
          <w:szCs w:val="24"/>
        </w:rPr>
        <w:t>2、免费质量保修期内成交供应商需要提供</w:t>
      </w:r>
      <w:r>
        <w:rPr>
          <w:rFonts w:hint="eastAsia" w:ascii="仿宋" w:hAnsi="仿宋" w:eastAsia="仿宋" w:cs="仿宋"/>
          <w:spacing w:val="-18"/>
          <w:sz w:val="24"/>
          <w:szCs w:val="24"/>
        </w:rPr>
        <w:t xml:space="preserve"> </w:t>
      </w:r>
      <w:r>
        <w:rPr>
          <w:rFonts w:hint="eastAsia" w:ascii="仿宋" w:hAnsi="仿宋" w:eastAsia="仿宋" w:cs="仿宋"/>
          <w:spacing w:val="-3"/>
          <w:sz w:val="24"/>
          <w:szCs w:val="24"/>
        </w:rPr>
        <w:t>7×24</w:t>
      </w:r>
      <w:r>
        <w:rPr>
          <w:rFonts w:hint="eastAsia" w:ascii="仿宋" w:hAnsi="仿宋" w:eastAsia="仿宋" w:cs="仿宋"/>
          <w:spacing w:val="-44"/>
          <w:sz w:val="24"/>
          <w:szCs w:val="24"/>
        </w:rPr>
        <w:t xml:space="preserve"> </w:t>
      </w:r>
      <w:r>
        <w:rPr>
          <w:rFonts w:hint="eastAsia" w:ascii="仿宋" w:hAnsi="仿宋" w:eastAsia="仿宋" w:cs="仿宋"/>
          <w:spacing w:val="-3"/>
          <w:sz w:val="24"/>
          <w:szCs w:val="24"/>
        </w:rPr>
        <w:t>小时免费技术支持服务。</w:t>
      </w:r>
      <w:r>
        <w:rPr>
          <w:rFonts w:hint="eastAsia" w:ascii="仿宋" w:hAnsi="仿宋" w:eastAsia="仿宋" w:cs="仿宋"/>
          <w:spacing w:val="-1"/>
          <w:sz w:val="24"/>
          <w:szCs w:val="24"/>
        </w:rPr>
        <w:t>质量保修期内本次采购软件运行中发生任何非非人为故障，成交供应商应提供免费的维护保修。非因操作不当造成需要更换的设备及零配件由成交供应商负</w:t>
      </w:r>
      <w:r>
        <w:rPr>
          <w:rFonts w:hint="eastAsia" w:ascii="仿宋" w:hAnsi="仿宋" w:eastAsia="仿宋" w:cs="仿宋"/>
          <w:spacing w:val="-2"/>
          <w:sz w:val="24"/>
          <w:szCs w:val="24"/>
        </w:rPr>
        <w:t>责免费保修、包换。成交供应商维修响应时间为</w:t>
      </w:r>
      <w:r>
        <w:rPr>
          <w:rFonts w:hint="eastAsia" w:ascii="仿宋" w:hAnsi="仿宋" w:eastAsia="仿宋" w:cs="仿宋"/>
          <w:spacing w:val="-27"/>
          <w:sz w:val="24"/>
          <w:szCs w:val="24"/>
        </w:rPr>
        <w:t xml:space="preserve"> </w:t>
      </w:r>
      <w:r>
        <w:rPr>
          <w:rFonts w:hint="eastAsia" w:ascii="仿宋" w:hAnsi="仿宋" w:eastAsia="仿宋" w:cs="仿宋"/>
          <w:spacing w:val="-2"/>
          <w:sz w:val="24"/>
          <w:szCs w:val="24"/>
        </w:rPr>
        <w:t>1</w:t>
      </w:r>
      <w:r>
        <w:rPr>
          <w:rFonts w:hint="eastAsia" w:ascii="仿宋" w:hAnsi="仿宋" w:eastAsia="仿宋" w:cs="仿宋"/>
          <w:spacing w:val="-44"/>
          <w:sz w:val="24"/>
          <w:szCs w:val="24"/>
        </w:rPr>
        <w:t xml:space="preserve"> </w:t>
      </w:r>
      <w:r>
        <w:rPr>
          <w:rFonts w:hint="eastAsia" w:ascii="仿宋" w:hAnsi="仿宋" w:eastAsia="仿宋" w:cs="仿宋"/>
          <w:spacing w:val="-2"/>
          <w:sz w:val="24"/>
          <w:szCs w:val="24"/>
        </w:rPr>
        <w:t>小时以内，成交供应商最终</w:t>
      </w:r>
      <w:r>
        <w:rPr>
          <w:rFonts w:hint="eastAsia" w:ascii="仿宋" w:hAnsi="仿宋" w:eastAsia="仿宋" w:cs="仿宋"/>
          <w:spacing w:val="-1"/>
          <w:sz w:val="24"/>
          <w:szCs w:val="24"/>
        </w:rPr>
        <w:t>解除故障时间为</w:t>
      </w:r>
      <w:r>
        <w:rPr>
          <w:rFonts w:hint="eastAsia" w:ascii="仿宋" w:hAnsi="仿宋" w:eastAsia="仿宋" w:cs="仿宋"/>
          <w:spacing w:val="-51"/>
          <w:sz w:val="24"/>
          <w:szCs w:val="24"/>
        </w:rPr>
        <w:t xml:space="preserve"> </w:t>
      </w:r>
      <w:r>
        <w:rPr>
          <w:rFonts w:hint="eastAsia" w:ascii="仿宋" w:hAnsi="仿宋" w:eastAsia="仿宋" w:cs="仿宋"/>
          <w:spacing w:val="-1"/>
          <w:sz w:val="24"/>
          <w:szCs w:val="24"/>
        </w:rPr>
        <w:t>8</w:t>
      </w:r>
      <w:r>
        <w:rPr>
          <w:rFonts w:hint="eastAsia" w:ascii="仿宋" w:hAnsi="仿宋" w:eastAsia="仿宋" w:cs="仿宋"/>
          <w:spacing w:val="-44"/>
          <w:sz w:val="24"/>
          <w:szCs w:val="24"/>
        </w:rPr>
        <w:t xml:space="preserve"> </w:t>
      </w:r>
      <w:r>
        <w:rPr>
          <w:rFonts w:hint="eastAsia" w:ascii="仿宋" w:hAnsi="仿宋" w:eastAsia="仿宋" w:cs="仿宋"/>
          <w:spacing w:val="-1"/>
          <w:sz w:val="24"/>
          <w:szCs w:val="24"/>
        </w:rPr>
        <w:t>小时以内，修复或者免费更换整个或</w:t>
      </w:r>
      <w:r>
        <w:rPr>
          <w:rFonts w:hint="eastAsia" w:ascii="仿宋" w:hAnsi="仿宋" w:eastAsia="仿宋" w:cs="仿宋"/>
          <w:spacing w:val="-2"/>
          <w:sz w:val="24"/>
          <w:szCs w:val="24"/>
        </w:rPr>
        <w:t>部分有故障的设备，直</w:t>
      </w:r>
      <w:r>
        <w:rPr>
          <w:rFonts w:hint="eastAsia" w:ascii="仿宋" w:hAnsi="仿宋" w:eastAsia="仿宋" w:cs="仿宋"/>
          <w:spacing w:val="-4"/>
          <w:sz w:val="24"/>
          <w:szCs w:val="24"/>
        </w:rPr>
        <w:t>至满足系统指标和性能的要求。</w:t>
      </w:r>
    </w:p>
    <w:p w14:paraId="26CCCE30">
      <w:pPr>
        <w:spacing w:before="1" w:line="359" w:lineRule="auto"/>
        <w:ind w:left="44" w:right="72" w:firstLine="478"/>
        <w:rPr>
          <w:rFonts w:hint="eastAsia" w:ascii="仿宋" w:hAnsi="仿宋" w:eastAsia="仿宋" w:cs="仿宋"/>
          <w:sz w:val="24"/>
          <w:szCs w:val="24"/>
        </w:rPr>
      </w:pPr>
      <w:r>
        <w:rPr>
          <w:rFonts w:hint="eastAsia" w:ascii="仿宋" w:hAnsi="仿宋" w:eastAsia="仿宋" w:cs="仿宋"/>
          <w:spacing w:val="-1"/>
          <w:sz w:val="24"/>
          <w:szCs w:val="24"/>
        </w:rPr>
        <w:t>3、免费维护期满后，成交供应商有责任对系统软硬件的运行、管理以及维</w:t>
      </w:r>
      <w:r>
        <w:rPr>
          <w:rFonts w:hint="eastAsia" w:ascii="仿宋" w:hAnsi="仿宋" w:eastAsia="仿宋" w:cs="仿宋"/>
          <w:spacing w:val="-2"/>
          <w:sz w:val="24"/>
          <w:szCs w:val="24"/>
        </w:rPr>
        <w:t>护进行定期的技术指导。供应商必须在投标文件中明确服务承诺。</w:t>
      </w:r>
    </w:p>
    <w:p w14:paraId="26C8E4FA">
      <w:pPr>
        <w:pStyle w:val="5"/>
        <w:bidi w:val="0"/>
        <w:rPr>
          <w:rFonts w:hint="eastAsia"/>
        </w:rPr>
      </w:pPr>
      <w:r>
        <w:rPr>
          <w:rFonts w:hint="eastAsia"/>
        </w:rPr>
        <w:t>3.3.验收标准</w:t>
      </w:r>
    </w:p>
    <w:p w14:paraId="55B5BF7C">
      <w:pPr>
        <w:spacing w:before="262" w:line="222" w:lineRule="auto"/>
        <w:ind w:firstLine="472" w:firstLineChars="200"/>
        <w:rPr>
          <w:rFonts w:hint="eastAsia" w:ascii="仿宋" w:hAnsi="仿宋" w:eastAsia="仿宋" w:cs="仿宋"/>
          <w:sz w:val="24"/>
          <w:szCs w:val="24"/>
        </w:rPr>
      </w:pPr>
      <w:r>
        <w:rPr>
          <w:rFonts w:hint="eastAsia" w:ascii="仿宋" w:hAnsi="仿宋" w:eastAsia="仿宋" w:cs="仿宋"/>
          <w:spacing w:val="-2"/>
          <w:sz w:val="24"/>
          <w:szCs w:val="24"/>
        </w:rPr>
        <w:t>以合同签订为准</w:t>
      </w:r>
    </w:p>
    <w:p w14:paraId="3B8B290A">
      <w:pPr>
        <w:spacing w:line="358" w:lineRule="auto"/>
        <w:rPr>
          <w:rFonts w:hint="eastAsia" w:ascii="仿宋" w:hAnsi="仿宋" w:eastAsia="仿宋" w:cs="仿宋"/>
          <w:sz w:val="24"/>
          <w:szCs w:val="24"/>
        </w:rPr>
      </w:pPr>
    </w:p>
    <w:p w14:paraId="56147666">
      <w:pPr>
        <w:pStyle w:val="5"/>
        <w:bidi w:val="0"/>
        <w:rPr>
          <w:rFonts w:hint="eastAsia"/>
        </w:rPr>
      </w:pPr>
      <w:r>
        <w:rPr>
          <w:rFonts w:hint="eastAsia"/>
        </w:rPr>
        <w:t>3.4.其他要求</w:t>
      </w:r>
    </w:p>
    <w:p w14:paraId="32969D87">
      <w:pPr>
        <w:spacing w:before="79" w:line="360" w:lineRule="auto"/>
        <w:ind w:right="175" w:firstLine="476" w:firstLineChars="200"/>
        <w:rPr>
          <w:rFonts w:hint="eastAsia" w:ascii="仿宋" w:hAnsi="仿宋" w:eastAsia="仿宋" w:cs="仿宋"/>
          <w:sz w:val="24"/>
          <w:szCs w:val="24"/>
        </w:rPr>
      </w:pPr>
      <w:r>
        <w:rPr>
          <w:rFonts w:hint="eastAsia" w:ascii="仿宋" w:hAnsi="仿宋" w:eastAsia="仿宋" w:cs="仿宋"/>
          <w:spacing w:val="-1"/>
          <w:sz w:val="24"/>
          <w:szCs w:val="24"/>
        </w:rPr>
        <w:t>如果属于政务信息系统项目，其采购需求还应当符合《政务信息系统政府</w:t>
      </w:r>
      <w:r>
        <w:rPr>
          <w:rFonts w:hint="eastAsia" w:ascii="仿宋" w:hAnsi="仿宋" w:eastAsia="仿宋" w:cs="仿宋"/>
          <w:spacing w:val="-2"/>
          <w:sz w:val="24"/>
          <w:szCs w:val="24"/>
        </w:rPr>
        <w:t>采购管理暂行办法》（财库〔2017〕210</w:t>
      </w:r>
      <w:r>
        <w:rPr>
          <w:rFonts w:hint="eastAsia" w:ascii="仿宋" w:hAnsi="仿宋" w:eastAsia="仿宋" w:cs="仿宋"/>
          <w:spacing w:val="-38"/>
          <w:sz w:val="24"/>
          <w:szCs w:val="24"/>
        </w:rPr>
        <w:t xml:space="preserve"> </w:t>
      </w:r>
      <w:r>
        <w:rPr>
          <w:rFonts w:hint="eastAsia" w:ascii="仿宋" w:hAnsi="仿宋" w:eastAsia="仿宋" w:cs="仿宋"/>
          <w:spacing w:val="-3"/>
          <w:sz w:val="24"/>
          <w:szCs w:val="24"/>
        </w:rPr>
        <w:t>号）的相关要求。</w:t>
      </w:r>
    </w:p>
    <w:p w14:paraId="35D0ED4B">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val="0"/>
          <w:bCs w:val="0"/>
          <w:sz w:val="24"/>
          <w:szCs w:val="24"/>
        </w:rPr>
      </w:pPr>
      <w:bookmarkStart w:id="0" w:name="bookmark112"/>
      <w:bookmarkEnd w:id="0"/>
      <w:bookmarkStart w:id="1" w:name="bookmark111"/>
      <w:bookmarkEnd w:id="1"/>
    </w:p>
    <w:sectPr>
      <w:headerReference r:id="rId4" w:type="defaul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1F1F0">
    <w:pPr>
      <w:spacing w:line="239" w:lineRule="auto"/>
      <w:ind w:left="4089"/>
      <w:rPr>
        <w:rFonts w:ascii="宋体" w:hAnsi="宋体" w:eastAsia="宋体" w:cs="宋体"/>
        <w:sz w:val="20"/>
        <w:szCs w:val="20"/>
      </w:rPr>
    </w:pPr>
    <w:r>
      <w:rPr>
        <w:rFonts w:ascii="宋体" w:hAnsi="宋体" w:eastAsia="宋体" w:cs="宋体"/>
        <w:spacing w:val="-1"/>
        <w:sz w:val="20"/>
        <w:szCs w:val="20"/>
      </w:rPr>
      <w:t>32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D3F82">
    <w:pPr>
      <w:spacing w:line="239" w:lineRule="auto"/>
      <w:ind w:left="4090"/>
      <w:rPr>
        <w:rFonts w:ascii="宋体" w:hAnsi="宋体" w:eastAsia="宋体" w:cs="宋体"/>
        <w:sz w:val="20"/>
        <w:szCs w:val="20"/>
      </w:rPr>
    </w:pPr>
    <w:r>
      <w:rPr>
        <w:rFonts w:ascii="宋体" w:hAnsi="宋体" w:eastAsia="宋体" w:cs="宋体"/>
        <w:spacing w:val="-1"/>
        <w:sz w:val="20"/>
        <w:szCs w:val="20"/>
      </w:rPr>
      <w:t>75</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31846">
    <w:pPr>
      <w:spacing w:before="65" w:line="219" w:lineRule="auto"/>
      <w:ind w:right="26"/>
      <w:jc w:val="right"/>
      <w:rPr>
        <w:rFonts w:ascii="宋体" w:hAnsi="宋体" w:eastAsia="宋体" w:cs="宋体"/>
        <w:sz w:val="24"/>
        <w:szCs w:val="24"/>
      </w:rPr>
    </w:pPr>
    <w:r>
      <w:drawing>
        <wp:anchor distT="0" distB="0" distL="0" distR="0" simplePos="0" relativeHeight="251659264" behindDoc="0" locked="0" layoutInCell="0" allowOverlap="1">
          <wp:simplePos x="0" y="0"/>
          <wp:positionH relativeFrom="page">
            <wp:posOffset>1124585</wp:posOffset>
          </wp:positionH>
          <wp:positionV relativeFrom="page">
            <wp:posOffset>750570</wp:posOffset>
          </wp:positionV>
          <wp:extent cx="5311140" cy="9525"/>
          <wp:effectExtent l="0" t="0" r="0" b="0"/>
          <wp:wrapNone/>
          <wp:docPr id="1" name="IM 4"/>
          <wp:cNvGraphicFramePr/>
          <a:graphic xmlns:a="http://schemas.openxmlformats.org/drawingml/2006/main">
            <a:graphicData uri="http://schemas.openxmlformats.org/drawingml/2006/picture">
              <pic:pic xmlns:pic="http://schemas.openxmlformats.org/drawingml/2006/picture">
                <pic:nvPicPr>
                  <pic:cNvPr id="1" name="IM 4"/>
                  <pic:cNvPicPr/>
                </pic:nvPicPr>
                <pic:blipFill>
                  <a:blip r:embed="rId1"/>
                  <a:stretch>
                    <a:fillRect/>
                  </a:stretch>
                </pic:blipFill>
                <pic:spPr>
                  <a:xfrm>
                    <a:off x="0" y="0"/>
                    <a:ext cx="5311390" cy="952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6C6651"/>
    <w:multiLevelType w:val="singleLevel"/>
    <w:tmpl w:val="EE6C665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5ZmZlMTZkZDRjNTlkNjJjYWIyZjdlNjUyNjZhZjAifQ=="/>
  </w:docVars>
  <w:rsids>
    <w:rsidRoot w:val="2B907CFF"/>
    <w:rsid w:val="1A5A25D4"/>
    <w:rsid w:val="1D295B40"/>
    <w:rsid w:val="21BE2BE8"/>
    <w:rsid w:val="2B2748F2"/>
    <w:rsid w:val="2B907CFF"/>
    <w:rsid w:val="34B4664C"/>
    <w:rsid w:val="38B07BA2"/>
    <w:rsid w:val="58A12251"/>
    <w:rsid w:val="5FA74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5">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Body Text"/>
    <w:basedOn w:val="1"/>
    <w:semiHidden/>
    <w:qFormat/>
    <w:uiPriority w:val="0"/>
    <w:rPr>
      <w:rFonts w:ascii="黑体" w:hAnsi="黑体" w:eastAsia="黑体" w:cs="黑体"/>
      <w:sz w:val="32"/>
      <w:szCs w:val="32"/>
      <w:lang w:val="en-US" w:eastAsia="en-US" w:bidi="ar-SA"/>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0">
    <w:name w:val="font11"/>
    <w:basedOn w:val="9"/>
    <w:qFormat/>
    <w:uiPriority w:val="0"/>
    <w:rPr>
      <w:rFonts w:hint="eastAsia" w:ascii="宋体" w:hAnsi="宋体" w:eastAsia="宋体" w:cs="宋体"/>
      <w:color w:val="000000"/>
      <w:sz w:val="22"/>
      <w:szCs w:val="22"/>
      <w:u w:val="none"/>
    </w:r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15154</Words>
  <Characters>16365</Characters>
  <Lines>0</Lines>
  <Paragraphs>0</Paragraphs>
  <TotalTime>16</TotalTime>
  <ScaleCrop>false</ScaleCrop>
  <LinksUpToDate>false</LinksUpToDate>
  <CharactersWithSpaces>17968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2026-10-10T05:03:00Z</dcterms:created>
  <dc:creator>    </dc:creator>
  <cp:lastModifiedBy>王建伟</cp:lastModifiedBy>
  <dcterms:modified xsi:type="dcterms:W3CDTF">2026-10-10T09:13:35Z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6F25ED6A53F243879DDAD35723AAA43C_11</vt:lpwstr>
  </property>
  <property fmtid="{D5CDD505-2E9C-101B-9397-08002B2CF9AE}" pid="4" name="KSOTemplateDocerSaveRecord">
    <vt:lpwstr>eyJoZGlkIjoiMmE1ODYyNjNlYzMyYzgwM2NiZTRkOWU2ZjNhYzQ5MTIiLCJ1c2VySWQiOiIxMTIzNjAyOTEwIn0=</vt:lpwstr>
  </property>
</Properties>
</file>